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D" w:rsidRPr="008C4E41" w:rsidRDefault="007A742D" w:rsidP="007A74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C4E41">
        <w:rPr>
          <w:rFonts w:ascii="Arial" w:eastAsia="Times New Roman" w:hAnsi="Arial" w:cs="Arial"/>
          <w:b/>
          <w:sz w:val="28"/>
          <w:szCs w:val="28"/>
        </w:rPr>
        <w:t>CHATTAHOOCHEE COVE HOMEOWNERS ASSOCIATION, INC.</w:t>
      </w:r>
    </w:p>
    <w:p w:rsidR="007A742D" w:rsidRPr="008C4E41" w:rsidRDefault="007A742D" w:rsidP="007A742D">
      <w:pPr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7A742D" w:rsidRPr="008C4E41" w:rsidRDefault="007A742D" w:rsidP="007A742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8C4E41">
        <w:rPr>
          <w:rFonts w:ascii="Arial" w:eastAsia="Times New Roman" w:hAnsi="Arial" w:cs="Arial"/>
          <w:b/>
          <w:bCs/>
          <w:sz w:val="21"/>
          <w:szCs w:val="21"/>
        </w:rPr>
        <w:t>Chattahoochee Cove Agenda for</w:t>
      </w:r>
    </w:p>
    <w:p w:rsidR="007A742D" w:rsidRPr="008C4E41" w:rsidRDefault="007A742D" w:rsidP="007A742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8C4E41">
        <w:rPr>
          <w:rFonts w:ascii="Arial" w:eastAsia="Times New Roman" w:hAnsi="Arial" w:cs="Arial"/>
          <w:b/>
          <w:bCs/>
          <w:sz w:val="21"/>
          <w:szCs w:val="21"/>
        </w:rPr>
        <w:t>202</w:t>
      </w:r>
      <w:r w:rsidR="008331BF">
        <w:rPr>
          <w:rFonts w:ascii="Arial" w:eastAsia="Times New Roman" w:hAnsi="Arial" w:cs="Arial"/>
          <w:b/>
          <w:bCs/>
          <w:sz w:val="21"/>
          <w:szCs w:val="21"/>
        </w:rPr>
        <w:t>4</w:t>
      </w:r>
      <w:r w:rsidRPr="008C4E41">
        <w:rPr>
          <w:rFonts w:ascii="Arial" w:eastAsia="Times New Roman" w:hAnsi="Arial" w:cs="Arial"/>
          <w:b/>
          <w:bCs/>
          <w:sz w:val="21"/>
          <w:szCs w:val="21"/>
        </w:rPr>
        <w:t xml:space="preserve"> HOA ANNUAL MEETING</w:t>
      </w:r>
    </w:p>
    <w:p w:rsidR="007A742D" w:rsidRPr="008C4E41" w:rsidRDefault="007A742D" w:rsidP="007A742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8C4E41">
        <w:rPr>
          <w:rFonts w:ascii="Arial" w:eastAsia="Times New Roman" w:hAnsi="Arial" w:cs="Arial"/>
          <w:b/>
          <w:bCs/>
          <w:sz w:val="21"/>
          <w:szCs w:val="21"/>
        </w:rPr>
        <w:t>Sunday, November 0</w:t>
      </w:r>
      <w:r w:rsidR="008331BF">
        <w:rPr>
          <w:rFonts w:ascii="Arial" w:eastAsia="Times New Roman" w:hAnsi="Arial" w:cs="Arial"/>
          <w:b/>
          <w:bCs/>
          <w:sz w:val="21"/>
          <w:szCs w:val="21"/>
        </w:rPr>
        <w:t>5</w:t>
      </w:r>
      <w:r w:rsidRPr="008C4E41">
        <w:rPr>
          <w:rFonts w:ascii="Arial" w:eastAsia="Times New Roman" w:hAnsi="Arial" w:cs="Arial"/>
          <w:b/>
          <w:bCs/>
          <w:sz w:val="21"/>
          <w:szCs w:val="21"/>
        </w:rPr>
        <w:t>, 202</w:t>
      </w:r>
      <w:r w:rsidR="008331BF">
        <w:rPr>
          <w:rFonts w:ascii="Arial" w:eastAsia="Times New Roman" w:hAnsi="Arial" w:cs="Arial"/>
          <w:b/>
          <w:bCs/>
          <w:sz w:val="21"/>
          <w:szCs w:val="21"/>
        </w:rPr>
        <w:t>3</w:t>
      </w:r>
    </w:p>
    <w:p w:rsidR="007A742D" w:rsidRPr="008C4E41" w:rsidRDefault="007A742D" w:rsidP="007A742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8C4E41">
        <w:rPr>
          <w:rFonts w:ascii="Arial" w:eastAsia="Times New Roman" w:hAnsi="Arial" w:cs="Arial"/>
          <w:b/>
          <w:bCs/>
          <w:sz w:val="21"/>
          <w:szCs w:val="21"/>
        </w:rPr>
        <w:t>2650 Old Towne Parkway (</w:t>
      </w:r>
      <w:r w:rsidR="008331BF">
        <w:rPr>
          <w:rFonts w:ascii="Arial" w:eastAsia="Times New Roman" w:hAnsi="Arial" w:cs="Arial"/>
          <w:b/>
          <w:bCs/>
          <w:sz w:val="21"/>
          <w:szCs w:val="21"/>
        </w:rPr>
        <w:t xml:space="preserve">Alpha Tennis Academy </w:t>
      </w:r>
      <w:r w:rsidR="008331BF" w:rsidRPr="008331BF">
        <w:rPr>
          <w:rFonts w:ascii="Arial" w:eastAsia="Times New Roman" w:hAnsi="Arial" w:cs="Arial"/>
          <w:b/>
          <w:bCs/>
          <w:i/>
          <w:sz w:val="21"/>
          <w:szCs w:val="21"/>
        </w:rPr>
        <w:t>formerly</w:t>
      </w:r>
      <w:r w:rsidR="008331B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8C4E41">
        <w:rPr>
          <w:rFonts w:ascii="Arial" w:eastAsia="Times New Roman" w:hAnsi="Arial" w:cs="Arial"/>
          <w:b/>
          <w:bCs/>
          <w:sz w:val="21"/>
          <w:szCs w:val="21"/>
        </w:rPr>
        <w:t>Duluth Racquet Club)</w:t>
      </w:r>
    </w:p>
    <w:p w:rsidR="007A742D" w:rsidRPr="008C4E41" w:rsidRDefault="007A742D" w:rsidP="007A742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2</w:t>
      </w:r>
      <w:r w:rsidRPr="008C4E41">
        <w:rPr>
          <w:rFonts w:ascii="Arial" w:eastAsia="Times New Roman" w:hAnsi="Arial" w:cs="Arial"/>
          <w:b/>
          <w:bCs/>
          <w:sz w:val="21"/>
          <w:szCs w:val="21"/>
        </w:rPr>
        <w:t xml:space="preserve">:00p – </w:t>
      </w:r>
      <w:r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8C4E41">
        <w:rPr>
          <w:rFonts w:ascii="Arial" w:eastAsia="Times New Roman" w:hAnsi="Arial" w:cs="Arial"/>
          <w:b/>
          <w:bCs/>
          <w:sz w:val="21"/>
          <w:szCs w:val="21"/>
        </w:rPr>
        <w:t>:30p EST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Registration – </w:t>
      </w:r>
      <w:r w:rsidRPr="008C4E41">
        <w:rPr>
          <w:rFonts w:ascii="Arial" w:eastAsia="Times New Roman" w:hAnsi="Arial" w:cs="Arial"/>
        </w:rPr>
        <w:t>1:45p</w:t>
      </w:r>
      <w:r w:rsidRPr="008C4E41">
        <w:rPr>
          <w:rFonts w:ascii="Arial" w:eastAsia="Times New Roman" w:hAnsi="Arial" w:cs="Arial"/>
          <w:b/>
        </w:rPr>
        <w:t xml:space="preserve"> -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Cs/>
        </w:rPr>
        <w:t>2</w:t>
      </w:r>
      <w:r w:rsidRPr="008C4E41">
        <w:rPr>
          <w:rFonts w:ascii="Arial" w:eastAsia="Times New Roman" w:hAnsi="Arial" w:cs="Arial"/>
          <w:bCs/>
        </w:rPr>
        <w:t>:00 pm (Eastern Standard Time)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Verification of Quorum – </w:t>
      </w:r>
      <w:r w:rsidRPr="008C4E41">
        <w:rPr>
          <w:rFonts w:ascii="Arial" w:eastAsia="Times New Roman" w:hAnsi="Arial" w:cs="Arial"/>
        </w:rPr>
        <w:t>requires 52 in attendance (33%) for B</w:t>
      </w:r>
      <w:r w:rsidR="00CD1871">
        <w:rPr>
          <w:rFonts w:ascii="Arial" w:eastAsia="Times New Roman" w:hAnsi="Arial" w:cs="Arial"/>
        </w:rPr>
        <w:t>oard of Direction</w:t>
      </w:r>
      <w:r w:rsidRPr="008C4E41">
        <w:rPr>
          <w:rFonts w:ascii="Arial" w:eastAsia="Times New Roman" w:hAnsi="Arial" w:cs="Arial"/>
        </w:rPr>
        <w:t xml:space="preserve"> election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Call to Order </w:t>
      </w:r>
      <w:r w:rsidRPr="008C4E41">
        <w:rPr>
          <w:rFonts w:ascii="Arial" w:eastAsia="Times New Roman" w:hAnsi="Arial" w:cs="Arial"/>
          <w:bCs/>
        </w:rPr>
        <w:t>– Doug Bergdoll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Cs/>
        </w:rPr>
      </w:pPr>
      <w:r w:rsidRPr="008C4E41">
        <w:rPr>
          <w:rFonts w:ascii="Arial" w:eastAsia="Times New Roman" w:hAnsi="Arial" w:cs="Arial"/>
          <w:b/>
        </w:rPr>
        <w:t xml:space="preserve">Guest Contributor - </w:t>
      </w:r>
      <w:r w:rsidRPr="008C4E41">
        <w:rPr>
          <w:rFonts w:ascii="Arial" w:eastAsia="Times New Roman" w:hAnsi="Arial" w:cs="Arial"/>
          <w:bCs/>
        </w:rPr>
        <w:t>Charlotte Brandi, realtor from Virtual Properties, to provide a market analysis and update of development projects in the neighborhood which potentially impact home price appraisals. (Handouts)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President’s Report Attached – </w:t>
      </w:r>
      <w:r w:rsidRPr="008C4E41">
        <w:rPr>
          <w:rFonts w:ascii="Arial" w:eastAsia="Times New Roman" w:hAnsi="Arial" w:cs="Arial"/>
        </w:rPr>
        <w:t>presentation on summary of relevant issues</w:t>
      </w:r>
      <w:r w:rsidR="008331BF">
        <w:rPr>
          <w:rFonts w:ascii="Arial" w:eastAsia="Times New Roman" w:hAnsi="Arial" w:cs="Arial"/>
        </w:rPr>
        <w:t xml:space="preserve"> (handout)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>Treasurer’s Report &amp; Review of 202</w:t>
      </w:r>
      <w:r w:rsidR="008331BF">
        <w:rPr>
          <w:rFonts w:ascii="Arial" w:eastAsia="Times New Roman" w:hAnsi="Arial" w:cs="Arial"/>
          <w:b/>
        </w:rPr>
        <w:t>4</w:t>
      </w:r>
      <w:r w:rsidRPr="008C4E41">
        <w:rPr>
          <w:rFonts w:ascii="Arial" w:eastAsia="Times New Roman" w:hAnsi="Arial" w:cs="Arial"/>
          <w:b/>
        </w:rPr>
        <w:t xml:space="preserve"> Budget</w:t>
      </w:r>
      <w:r w:rsidRPr="008C4E41">
        <w:rPr>
          <w:rFonts w:ascii="Arial" w:eastAsia="Times New Roman" w:hAnsi="Arial" w:cs="Arial"/>
        </w:rPr>
        <w:t xml:space="preserve"> </w:t>
      </w:r>
      <w:r w:rsidRPr="008C4E41">
        <w:rPr>
          <w:rFonts w:ascii="Arial" w:eastAsia="Times New Roman" w:hAnsi="Arial" w:cs="Arial"/>
          <w:bCs/>
        </w:rPr>
        <w:t>-</w:t>
      </w:r>
    </w:p>
    <w:p w:rsidR="007A742D" w:rsidRPr="008C4E41" w:rsidRDefault="007A742D" w:rsidP="007A742D">
      <w:pPr>
        <w:spacing w:after="120" w:line="240" w:lineRule="auto"/>
        <w:ind w:left="36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ab/>
      </w:r>
      <w:r w:rsidRPr="008C4E41">
        <w:rPr>
          <w:rFonts w:ascii="Arial" w:eastAsia="Times New Roman" w:hAnsi="Arial" w:cs="Arial"/>
        </w:rPr>
        <w:tab/>
        <w:t>Finances as of: 09/30/202</w:t>
      </w:r>
      <w:r w:rsidR="008331BF">
        <w:rPr>
          <w:rFonts w:ascii="Arial" w:eastAsia="Times New Roman" w:hAnsi="Arial" w:cs="Arial"/>
        </w:rPr>
        <w:t>3</w:t>
      </w:r>
    </w:p>
    <w:p w:rsidR="007A742D" w:rsidRPr="008C4E41" w:rsidRDefault="007A742D" w:rsidP="007A742D">
      <w:pPr>
        <w:spacing w:after="120" w:line="240" w:lineRule="auto"/>
        <w:ind w:left="252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>Operating</w:t>
      </w:r>
      <w:r w:rsidRPr="008C4E41">
        <w:rPr>
          <w:rFonts w:ascii="Arial" w:eastAsia="Times New Roman" w:hAnsi="Arial" w:cs="Arial"/>
        </w:rPr>
        <w:tab/>
      </w:r>
      <w:r w:rsidRPr="008C4E41">
        <w:rPr>
          <w:rFonts w:ascii="Arial" w:eastAsia="Times New Roman" w:hAnsi="Arial" w:cs="Arial"/>
        </w:rPr>
        <w:tab/>
        <w:t xml:space="preserve">       $    </w:t>
      </w:r>
      <w:r w:rsidR="008331BF">
        <w:rPr>
          <w:rFonts w:ascii="Arial" w:eastAsia="Times New Roman" w:hAnsi="Arial" w:cs="Arial"/>
        </w:rPr>
        <w:t>105,807.73</w:t>
      </w:r>
    </w:p>
    <w:p w:rsidR="007A742D" w:rsidRPr="008C4E41" w:rsidRDefault="007A742D" w:rsidP="007A742D">
      <w:pPr>
        <w:spacing w:after="120" w:line="240" w:lineRule="auto"/>
        <w:ind w:left="252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>Reserves</w:t>
      </w:r>
      <w:r w:rsidRPr="008C4E41">
        <w:rPr>
          <w:rFonts w:ascii="Arial" w:eastAsia="Times New Roman" w:hAnsi="Arial" w:cs="Arial"/>
        </w:rPr>
        <w:tab/>
      </w:r>
      <w:r w:rsidRPr="008C4E41">
        <w:rPr>
          <w:rFonts w:ascii="Arial" w:eastAsia="Times New Roman" w:hAnsi="Arial" w:cs="Arial"/>
        </w:rPr>
        <w:tab/>
        <w:t xml:space="preserve">       $    </w:t>
      </w:r>
      <w:r>
        <w:rPr>
          <w:rFonts w:ascii="Arial" w:eastAsia="Times New Roman" w:hAnsi="Arial" w:cs="Arial"/>
        </w:rPr>
        <w:t>1</w:t>
      </w:r>
      <w:r w:rsidR="008331BF">
        <w:rPr>
          <w:rFonts w:ascii="Arial" w:eastAsia="Times New Roman" w:hAnsi="Arial" w:cs="Arial"/>
        </w:rPr>
        <w:t>34</w:t>
      </w:r>
      <w:r>
        <w:rPr>
          <w:rFonts w:ascii="Arial" w:eastAsia="Times New Roman" w:hAnsi="Arial" w:cs="Arial"/>
        </w:rPr>
        <w:t>,4</w:t>
      </w:r>
      <w:r w:rsidR="008331BF">
        <w:rPr>
          <w:rFonts w:ascii="Arial" w:eastAsia="Times New Roman" w:hAnsi="Arial" w:cs="Arial"/>
        </w:rPr>
        <w:t>48</w:t>
      </w:r>
      <w:r w:rsidRPr="008C4E41">
        <w:rPr>
          <w:rFonts w:ascii="Arial" w:eastAsia="Times New Roman" w:hAnsi="Arial" w:cs="Arial"/>
        </w:rPr>
        <w:t>.</w:t>
      </w:r>
      <w:r w:rsidR="008331BF">
        <w:rPr>
          <w:rFonts w:ascii="Arial" w:eastAsia="Times New Roman" w:hAnsi="Arial" w:cs="Arial"/>
        </w:rPr>
        <w:t>70</w:t>
      </w:r>
    </w:p>
    <w:p w:rsidR="007A742D" w:rsidRPr="008C4E41" w:rsidRDefault="007A742D" w:rsidP="007A742D">
      <w:pPr>
        <w:spacing w:after="120" w:line="240" w:lineRule="auto"/>
        <w:ind w:left="2520"/>
        <w:rPr>
          <w:rFonts w:ascii="Arial" w:eastAsia="Times New Roman" w:hAnsi="Arial" w:cs="Arial"/>
          <w:u w:val="single"/>
        </w:rPr>
      </w:pPr>
      <w:r w:rsidRPr="008C4E41">
        <w:rPr>
          <w:rFonts w:ascii="Arial" w:eastAsia="Times New Roman" w:hAnsi="Arial" w:cs="Arial"/>
          <w:u w:val="single"/>
        </w:rPr>
        <w:t>Water/Sewer Deposit   $</w:t>
      </w:r>
      <w:r w:rsidRPr="008C4E41">
        <w:rPr>
          <w:rFonts w:ascii="Arial" w:eastAsia="Times New Roman" w:hAnsi="Arial" w:cs="Arial"/>
          <w:u w:val="single"/>
        </w:rPr>
        <w:tab/>
        <w:t xml:space="preserve">    </w:t>
      </w:r>
      <w:r w:rsidR="008331BF">
        <w:rPr>
          <w:rFonts w:ascii="Arial" w:eastAsia="Times New Roman" w:hAnsi="Arial" w:cs="Arial"/>
          <w:u w:val="single"/>
        </w:rPr>
        <w:t xml:space="preserve"> </w:t>
      </w:r>
      <w:r w:rsidRPr="008C4E41">
        <w:rPr>
          <w:rFonts w:ascii="Arial" w:eastAsia="Times New Roman" w:hAnsi="Arial" w:cs="Arial"/>
          <w:u w:val="single"/>
        </w:rPr>
        <w:t>5,000.00</w:t>
      </w:r>
    </w:p>
    <w:p w:rsidR="007A742D" w:rsidRPr="008C4E41" w:rsidRDefault="007A742D" w:rsidP="007A742D">
      <w:pPr>
        <w:spacing w:after="120" w:line="240" w:lineRule="auto"/>
        <w:ind w:left="252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 xml:space="preserve">     Total </w:t>
      </w:r>
      <w:r w:rsidRPr="008C4E41">
        <w:rPr>
          <w:rFonts w:ascii="Arial" w:eastAsia="Times New Roman" w:hAnsi="Arial" w:cs="Arial"/>
        </w:rPr>
        <w:tab/>
      </w:r>
      <w:r w:rsidRPr="008C4E41">
        <w:rPr>
          <w:rFonts w:ascii="Arial" w:eastAsia="Times New Roman" w:hAnsi="Arial" w:cs="Arial"/>
        </w:rPr>
        <w:tab/>
        <w:t xml:space="preserve">        $ </w:t>
      </w:r>
      <w:r w:rsidRPr="008C4E41">
        <w:rPr>
          <w:rFonts w:ascii="Arial" w:eastAsia="Times New Roman" w:hAnsi="Arial" w:cs="Arial"/>
        </w:rPr>
        <w:tab/>
      </w:r>
      <w:r w:rsidR="008331BF">
        <w:rPr>
          <w:rFonts w:ascii="Arial" w:eastAsia="Times New Roman" w:hAnsi="Arial" w:cs="Arial"/>
        </w:rPr>
        <w:t xml:space="preserve"> 24</w:t>
      </w:r>
      <w:r>
        <w:rPr>
          <w:rFonts w:ascii="Arial" w:eastAsia="Times New Roman" w:hAnsi="Arial" w:cs="Arial"/>
        </w:rPr>
        <w:t>5</w:t>
      </w:r>
      <w:r w:rsidRPr="008C4E41">
        <w:rPr>
          <w:rFonts w:ascii="Arial" w:eastAsia="Times New Roman" w:hAnsi="Arial" w:cs="Arial"/>
        </w:rPr>
        <w:t>,</w:t>
      </w:r>
      <w:r w:rsidR="008331BF">
        <w:rPr>
          <w:rFonts w:ascii="Arial" w:eastAsia="Times New Roman" w:hAnsi="Arial" w:cs="Arial"/>
        </w:rPr>
        <w:t>256</w:t>
      </w:r>
      <w:r w:rsidRPr="008C4E41">
        <w:rPr>
          <w:rFonts w:ascii="Arial" w:eastAsia="Times New Roman" w:hAnsi="Arial" w:cs="Arial"/>
        </w:rPr>
        <w:t>.</w:t>
      </w:r>
      <w:r w:rsidR="008331BF">
        <w:rPr>
          <w:rFonts w:ascii="Arial" w:eastAsia="Times New Roman" w:hAnsi="Arial" w:cs="Arial"/>
        </w:rPr>
        <w:t>43</w:t>
      </w:r>
    </w:p>
    <w:p w:rsidR="007A742D" w:rsidRPr="008C4E41" w:rsidRDefault="007A742D" w:rsidP="007A742D">
      <w:pPr>
        <w:spacing w:after="120" w:line="240" w:lineRule="auto"/>
        <w:ind w:left="2520"/>
        <w:rPr>
          <w:rFonts w:ascii="Arial" w:eastAsia="Times New Roman" w:hAnsi="Arial" w:cs="Arial"/>
        </w:rPr>
      </w:pPr>
    </w:p>
    <w:p w:rsidR="007A742D" w:rsidRPr="008C4E41" w:rsidRDefault="007A742D" w:rsidP="007A742D">
      <w:pPr>
        <w:spacing w:after="120" w:line="240" w:lineRule="auto"/>
        <w:ind w:left="144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 xml:space="preserve">Delinquencies </w:t>
      </w:r>
      <w:r>
        <w:rPr>
          <w:rFonts w:ascii="Arial" w:eastAsia="Times New Roman" w:hAnsi="Arial" w:cs="Arial"/>
        </w:rPr>
        <w:t xml:space="preserve">thru </w:t>
      </w:r>
      <w:r w:rsidRPr="008C4E41">
        <w:rPr>
          <w:rFonts w:ascii="Arial" w:eastAsia="Times New Roman" w:hAnsi="Arial" w:cs="Arial"/>
        </w:rPr>
        <w:t>09/30/202</w:t>
      </w:r>
      <w:r w:rsidR="008331BF">
        <w:rPr>
          <w:rFonts w:ascii="Arial" w:eastAsia="Times New Roman" w:hAnsi="Arial" w:cs="Arial"/>
        </w:rPr>
        <w:t>3</w:t>
      </w:r>
      <w:r w:rsidRPr="008C4E41">
        <w:rPr>
          <w:rFonts w:ascii="Arial" w:eastAsia="Times New Roman" w:hAnsi="Arial" w:cs="Arial"/>
        </w:rPr>
        <w:t xml:space="preserve"> – </w:t>
      </w:r>
      <w:r w:rsidR="008331BF">
        <w:rPr>
          <w:rFonts w:ascii="Arial" w:eastAsia="Times New Roman" w:hAnsi="Arial" w:cs="Arial"/>
        </w:rPr>
        <w:t>4</w:t>
      </w:r>
      <w:r w:rsidRPr="008C4E41">
        <w:rPr>
          <w:rFonts w:ascii="Arial" w:eastAsia="Times New Roman" w:hAnsi="Arial" w:cs="Arial"/>
        </w:rPr>
        <w:t xml:space="preserve"> accounts </w:t>
      </w:r>
      <w:r w:rsidR="008331BF">
        <w:rPr>
          <w:rFonts w:ascii="Arial" w:eastAsia="Times New Roman" w:hAnsi="Arial" w:cs="Arial"/>
        </w:rPr>
        <w:t>=</w:t>
      </w:r>
      <w:r w:rsidRPr="008C4E41">
        <w:rPr>
          <w:rFonts w:ascii="Arial" w:eastAsia="Times New Roman" w:hAnsi="Arial" w:cs="Arial"/>
        </w:rPr>
        <w:t xml:space="preserve"> </w:t>
      </w:r>
      <w:r w:rsidR="008331BF">
        <w:rPr>
          <w:rFonts w:ascii="Arial" w:eastAsia="Times New Roman" w:hAnsi="Arial" w:cs="Arial"/>
        </w:rPr>
        <w:t>$1,670</w:t>
      </w:r>
      <w:r w:rsidRPr="008C4E41">
        <w:rPr>
          <w:rFonts w:ascii="Arial" w:eastAsia="Times New Roman" w:hAnsi="Arial" w:cs="Arial"/>
        </w:rPr>
        <w:t xml:space="preserve"> </w:t>
      </w:r>
    </w:p>
    <w:p w:rsidR="007A742D" w:rsidRPr="008C4E41" w:rsidRDefault="007A742D" w:rsidP="007A742D">
      <w:pPr>
        <w:spacing w:after="120" w:line="240" w:lineRule="auto"/>
        <w:ind w:left="144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 xml:space="preserve">Total Amount Delinquencies: </w:t>
      </w:r>
      <w:r w:rsidR="008331BF">
        <w:rPr>
          <w:rFonts w:ascii="Arial" w:eastAsia="Times New Roman" w:hAnsi="Arial" w:cs="Arial"/>
        </w:rPr>
        <w:t xml:space="preserve">(11) = </w:t>
      </w:r>
      <w:r w:rsidRPr="008C4E41">
        <w:rPr>
          <w:rFonts w:ascii="Arial" w:eastAsia="Times New Roman" w:hAnsi="Arial" w:cs="Arial"/>
        </w:rPr>
        <w:t>$</w:t>
      </w:r>
      <w:r w:rsidR="008331BF">
        <w:rPr>
          <w:rFonts w:ascii="Arial" w:eastAsia="Times New Roman" w:hAnsi="Arial" w:cs="Arial"/>
        </w:rPr>
        <w:t>3</w:t>
      </w:r>
      <w:r w:rsidRPr="008C4E41">
        <w:rPr>
          <w:rFonts w:ascii="Arial" w:eastAsia="Times New Roman" w:hAnsi="Arial" w:cs="Arial"/>
        </w:rPr>
        <w:t>,</w:t>
      </w:r>
      <w:r w:rsidR="008331BF">
        <w:rPr>
          <w:rFonts w:ascii="Arial" w:eastAsia="Times New Roman" w:hAnsi="Arial" w:cs="Arial"/>
        </w:rPr>
        <w:t>202</w:t>
      </w:r>
      <w:r w:rsidRPr="008C4E41">
        <w:rPr>
          <w:rFonts w:ascii="Arial" w:eastAsia="Times New Roman" w:hAnsi="Arial" w:cs="Arial"/>
        </w:rPr>
        <w:t>.</w:t>
      </w:r>
      <w:r w:rsidR="008331BF">
        <w:rPr>
          <w:rFonts w:ascii="Arial" w:eastAsia="Times New Roman" w:hAnsi="Arial" w:cs="Arial"/>
        </w:rPr>
        <w:t>75</w:t>
      </w:r>
      <w:r w:rsidRPr="008C4E41">
        <w:rPr>
          <w:rFonts w:ascii="Arial" w:eastAsia="Times New Roman" w:hAnsi="Arial" w:cs="Arial"/>
        </w:rPr>
        <w:t xml:space="preserve"> 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</w:rPr>
        <w:tab/>
      </w:r>
      <w:r w:rsidRPr="008C4E41">
        <w:rPr>
          <w:rFonts w:ascii="Arial" w:eastAsia="Times New Roman" w:hAnsi="Arial" w:cs="Arial"/>
        </w:rPr>
        <w:tab/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New Business: </w:t>
      </w:r>
      <w:r w:rsidRPr="008C4E41">
        <w:rPr>
          <w:rFonts w:ascii="Arial" w:eastAsia="Times New Roman" w:hAnsi="Arial" w:cs="Arial"/>
        </w:rPr>
        <w:t>to be discussed as appropriate</w:t>
      </w:r>
    </w:p>
    <w:p w:rsidR="007A742D" w:rsidRPr="008C4E41" w:rsidRDefault="007A742D" w:rsidP="007A742D">
      <w:pPr>
        <w:spacing w:after="120" w:line="360" w:lineRule="auto"/>
        <w:ind w:firstLine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Board of Directors: </w:t>
      </w:r>
      <w:r w:rsidRPr="008C4E41">
        <w:rPr>
          <w:rFonts w:ascii="Arial" w:eastAsia="Times New Roman" w:hAnsi="Arial" w:cs="Arial"/>
          <w:bCs/>
        </w:rPr>
        <w:t>Doug Bergdoll; Jason Farah</w:t>
      </w:r>
      <w:r w:rsidR="00EF1556">
        <w:rPr>
          <w:rFonts w:ascii="Arial" w:eastAsia="Times New Roman" w:hAnsi="Arial" w:cs="Arial"/>
          <w:bCs/>
        </w:rPr>
        <w:t xml:space="preserve">; </w:t>
      </w:r>
      <w:r w:rsidR="008331BF">
        <w:rPr>
          <w:rFonts w:ascii="Arial" w:eastAsia="Times New Roman" w:hAnsi="Arial" w:cs="Arial"/>
          <w:bCs/>
        </w:rPr>
        <w:t>Joe Baradaran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</w:rPr>
      </w:pPr>
      <w:r w:rsidRPr="008C4E41">
        <w:rPr>
          <w:rFonts w:ascii="Arial" w:eastAsia="Times New Roman" w:hAnsi="Arial" w:cs="Arial"/>
          <w:b/>
        </w:rPr>
        <w:t xml:space="preserve">Official Member(s) at Large: </w:t>
      </w:r>
      <w:r w:rsidR="008331BF" w:rsidRPr="008331BF">
        <w:rPr>
          <w:rFonts w:ascii="Arial" w:eastAsia="Times New Roman" w:hAnsi="Arial" w:cs="Arial"/>
        </w:rPr>
        <w:t>vacant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Architectural/ Landscape Committee: </w:t>
      </w:r>
      <w:r w:rsidRPr="008C4E41">
        <w:rPr>
          <w:rFonts w:ascii="Arial" w:eastAsia="Times New Roman" w:hAnsi="Arial" w:cs="Arial"/>
        </w:rPr>
        <w:t>vacant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Social Committee: </w:t>
      </w:r>
      <w:r w:rsidRPr="008C4E41">
        <w:rPr>
          <w:rFonts w:ascii="Arial" w:eastAsia="Times New Roman" w:hAnsi="Arial" w:cs="Arial"/>
        </w:rPr>
        <w:t xml:space="preserve"> vacant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b/>
        </w:rPr>
      </w:pPr>
      <w:r w:rsidRPr="008C4E41">
        <w:rPr>
          <w:rFonts w:ascii="Arial" w:eastAsia="Times New Roman" w:hAnsi="Arial" w:cs="Arial"/>
          <w:b/>
        </w:rPr>
        <w:t xml:space="preserve">Friend of the Board: </w:t>
      </w:r>
      <w:r w:rsidRPr="008C4E41">
        <w:rPr>
          <w:rFonts w:ascii="Arial" w:eastAsia="Times New Roman" w:hAnsi="Arial" w:cs="Arial"/>
        </w:rPr>
        <w:t>Steve Pemberton</w:t>
      </w:r>
      <w:r w:rsidR="00EF1556">
        <w:rPr>
          <w:rFonts w:ascii="Arial" w:eastAsia="Times New Roman" w:hAnsi="Arial" w:cs="Arial"/>
        </w:rPr>
        <w:t xml:space="preserve"> (former president)</w:t>
      </w:r>
    </w:p>
    <w:p w:rsidR="007A742D" w:rsidRPr="008C4E41" w:rsidRDefault="007A742D" w:rsidP="007A742D">
      <w:pPr>
        <w:spacing w:after="120" w:line="360" w:lineRule="auto"/>
        <w:ind w:left="360"/>
        <w:rPr>
          <w:rFonts w:ascii="Arial" w:eastAsia="Times New Roman" w:hAnsi="Arial" w:cs="Arial"/>
          <w:sz w:val="21"/>
          <w:szCs w:val="21"/>
        </w:rPr>
      </w:pPr>
      <w:r w:rsidRPr="008C4E41">
        <w:rPr>
          <w:rFonts w:ascii="Arial" w:eastAsia="Times New Roman" w:hAnsi="Arial" w:cs="Arial"/>
          <w:b/>
        </w:rPr>
        <w:t xml:space="preserve">Adjournment </w:t>
      </w:r>
    </w:p>
    <w:p w:rsidR="007A742D" w:rsidRDefault="007A742D" w:rsidP="00B6039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7A742D" w:rsidRDefault="00B60395" w:rsidP="007A742D">
      <w:pPr>
        <w:jc w:val="center"/>
      </w:pPr>
      <w:r w:rsidRPr="00B60395">
        <w:rPr>
          <w:b/>
          <w:noProof/>
          <w:sz w:val="28"/>
          <w:szCs w:val="28"/>
        </w:rPr>
        <w:lastRenderedPageBreak/>
        <w:t>Summary of Chattahoochee Cove Homeowner activity issue</w:t>
      </w:r>
      <w:r w:rsidR="005E08D7">
        <w:rPr>
          <w:b/>
          <w:noProof/>
          <w:sz w:val="28"/>
          <w:szCs w:val="28"/>
        </w:rPr>
        <w:t>s</w:t>
      </w:r>
      <w:r w:rsidR="008331BF">
        <w:rPr>
          <w:b/>
          <w:noProof/>
          <w:sz w:val="28"/>
          <w:szCs w:val="28"/>
        </w:rPr>
        <w:t>:</w:t>
      </w:r>
      <w:r w:rsidRPr="00B60395">
        <w:rPr>
          <w:b/>
          <w:noProof/>
          <w:sz w:val="28"/>
          <w:szCs w:val="28"/>
        </w:rPr>
        <w:t xml:space="preserve"> 202</w:t>
      </w:r>
      <w:r w:rsidR="007C6D0D">
        <w:rPr>
          <w:b/>
          <w:noProof/>
          <w:sz w:val="28"/>
          <w:szCs w:val="28"/>
        </w:rPr>
        <w:t>3</w:t>
      </w:r>
      <w:r w:rsidRPr="00B60395">
        <w:rPr>
          <w:b/>
          <w:noProof/>
          <w:sz w:val="28"/>
          <w:szCs w:val="28"/>
        </w:rPr>
        <w:t xml:space="preserve"> - 202</w:t>
      </w:r>
      <w:r w:rsidR="007C6D0D">
        <w:rPr>
          <w:b/>
          <w:noProof/>
          <w:sz w:val="28"/>
          <w:szCs w:val="28"/>
        </w:rPr>
        <w:t>4</w:t>
      </w:r>
    </w:p>
    <w:p w:rsidR="00CB28B1" w:rsidRDefault="00F24747" w:rsidP="00CB28B1">
      <w:pPr>
        <w:pStyle w:val="ListParagraph"/>
        <w:numPr>
          <w:ilvl w:val="0"/>
          <w:numId w:val="1"/>
        </w:numPr>
      </w:pPr>
      <w:r>
        <w:t xml:space="preserve">The City of Duluth has designated our </w:t>
      </w:r>
      <w:r w:rsidR="00CD1E6B">
        <w:t>neighborhood as</w:t>
      </w:r>
      <w:r>
        <w:t xml:space="preserve"> part of a </w:t>
      </w:r>
      <w:r w:rsidRPr="00784DDA">
        <w:rPr>
          <w:b/>
        </w:rPr>
        <w:t>high priority investment area</w:t>
      </w:r>
      <w:r>
        <w:t xml:space="preserve"> coincident with the current </w:t>
      </w:r>
      <w:r w:rsidR="009C2C05">
        <w:t xml:space="preserve">housing </w:t>
      </w:r>
      <w:r>
        <w:t>development</w:t>
      </w:r>
      <w:r w:rsidR="00CD1E6B">
        <w:t>(s</w:t>
      </w:r>
      <w:r w:rsidR="00AC5A8F">
        <w:t>) under</w:t>
      </w:r>
      <w:r w:rsidR="009C2C05">
        <w:t xml:space="preserve"> construction</w:t>
      </w:r>
      <w:r w:rsidR="00CD1E6B">
        <w:t xml:space="preserve">: </w:t>
      </w:r>
      <w:r>
        <w:t xml:space="preserve">Encore at Ashton </w:t>
      </w:r>
      <w:r w:rsidR="00706C93">
        <w:t>Woods</w:t>
      </w:r>
      <w:r w:rsidR="00AC5A8F">
        <w:t xml:space="preserve"> </w:t>
      </w:r>
      <w:r w:rsidR="00E6213F">
        <w:t xml:space="preserve">Townhomes </w:t>
      </w:r>
      <w:r w:rsidR="00AC5A8F">
        <w:t>(161units/$475+K)</w:t>
      </w:r>
      <w:r w:rsidR="007F36FE">
        <w:t>;</w:t>
      </w:r>
      <w:r>
        <w:t xml:space="preserve"> Riviere Townhomes </w:t>
      </w:r>
      <w:r w:rsidR="00AC5A8F">
        <w:t>(72 units/$450+K</w:t>
      </w:r>
      <w:r w:rsidR="007F36FE">
        <w:t>;</w:t>
      </w:r>
      <w:r w:rsidR="00706C93">
        <w:t xml:space="preserve"> </w:t>
      </w:r>
      <w:r w:rsidR="00C37D27">
        <w:t xml:space="preserve">Riversong </w:t>
      </w:r>
      <w:r w:rsidR="00F01FA6">
        <w:t>Townhomes (</w:t>
      </w:r>
      <w:r w:rsidR="00AC5A8F">
        <w:t>51 units</w:t>
      </w:r>
      <w:r w:rsidR="00E6213F">
        <w:t>/</w:t>
      </w:r>
      <w:r w:rsidR="00AC5A8F">
        <w:t>$450+K</w:t>
      </w:r>
      <w:r w:rsidR="00E6213F">
        <w:t>),</w:t>
      </w:r>
      <w:r w:rsidR="00CD1E6B">
        <w:t xml:space="preserve"> </w:t>
      </w:r>
      <w:r w:rsidR="00D91FB4">
        <w:t xml:space="preserve">Rogers Bridge Pedestrian </w:t>
      </w:r>
      <w:r w:rsidR="00706C93">
        <w:t>Bridge</w:t>
      </w:r>
      <w:r w:rsidR="00D91FB4">
        <w:t xml:space="preserve"> </w:t>
      </w:r>
      <w:r w:rsidR="00465C02">
        <w:t>trailhead</w:t>
      </w:r>
      <w:r w:rsidR="00D91FB4">
        <w:t xml:space="preserve"> Chattahoochee River watershed</w:t>
      </w:r>
      <w:r w:rsidR="00C37D27">
        <w:t xml:space="preserve"> near Chattapoochee </w:t>
      </w:r>
      <w:r w:rsidR="00180A58">
        <w:t>D</w:t>
      </w:r>
      <w:r w:rsidR="00C37D27">
        <w:t xml:space="preserve">og </w:t>
      </w:r>
      <w:r w:rsidR="00180A58">
        <w:t>P</w:t>
      </w:r>
      <w:r w:rsidR="00C37D27">
        <w:t>ark</w:t>
      </w:r>
      <w:r>
        <w:t>.</w:t>
      </w:r>
    </w:p>
    <w:p w:rsidR="00180A58" w:rsidRDefault="00180A58" w:rsidP="00180A58">
      <w:pPr>
        <w:pStyle w:val="ListParagraph"/>
        <w:numPr>
          <w:ilvl w:val="0"/>
          <w:numId w:val="1"/>
        </w:numPr>
      </w:pPr>
      <w:r>
        <w:t>Encore at Ashton Woods development, a 465 SFU (304) / townhome (161) on the 145 acre former nearby golf course.  Single homes p</w:t>
      </w:r>
      <w:r w:rsidRPr="00F72531">
        <w:t>ricing projected ranging from $</w:t>
      </w:r>
      <w:r>
        <w:t>572</w:t>
      </w:r>
      <w:r w:rsidRPr="00F72531">
        <w:t>k</w:t>
      </w:r>
      <w:r>
        <w:t xml:space="preserve"> - $649k; Townhomes priced from $478k - $558k.  This market area leverages </w:t>
      </w:r>
      <w:r w:rsidRPr="00784DDA">
        <w:rPr>
          <w:b/>
        </w:rPr>
        <w:t>recent high</w:t>
      </w:r>
      <w:r>
        <w:rPr>
          <w:b/>
        </w:rPr>
        <w:t>-</w:t>
      </w:r>
      <w:r w:rsidRPr="00784DDA">
        <w:rPr>
          <w:b/>
        </w:rPr>
        <w:t xml:space="preserve"> end developments</w:t>
      </w:r>
      <w:r>
        <w:t xml:space="preserve"> in the nearby PIB corridor such as Sugarloaf Townhomes (PIB/Sugarloaf Pkwy), River’s Edge (near QT) and GreySolon Townhomes on Main Street (near Lidl grocery on PIB and Main).</w:t>
      </w:r>
    </w:p>
    <w:p w:rsidR="00180A58" w:rsidRDefault="00180A58" w:rsidP="00CB28B1">
      <w:pPr>
        <w:pStyle w:val="ListParagraph"/>
        <w:numPr>
          <w:ilvl w:val="0"/>
          <w:numId w:val="1"/>
        </w:numPr>
      </w:pPr>
      <w:r>
        <w:t>The City installed a 10’ wide sidewalk along our Rogers Bridge frontage which links the Rogers Bridge pedestrian park development ($5.7M) along Chattahoochee River basin with pedestrian walkway across the River to Johns Creek’s Cauley Creek 20</w:t>
      </w:r>
      <w:r w:rsidR="00CD1871">
        <w:t>4</w:t>
      </w:r>
      <w:r>
        <w:t xml:space="preserve"> acre </w:t>
      </w:r>
      <w:r w:rsidR="00D05723">
        <w:t xml:space="preserve">recreational </w:t>
      </w:r>
      <w:r w:rsidR="00CD1871">
        <w:t>park.</w:t>
      </w:r>
      <w:r>
        <w:t xml:space="preserve">  The Western Gwinnet Co. pedestrian and </w:t>
      </w:r>
      <w:r w:rsidR="00E6213F">
        <w:t xml:space="preserve">bikeway currently </w:t>
      </w:r>
      <w:r w:rsidR="00363B53">
        <w:t>under construction</w:t>
      </w:r>
      <w:r w:rsidR="00E6213F">
        <w:t xml:space="preserve"> extends</w:t>
      </w:r>
      <w:r>
        <w:t xml:space="preserve"> </w:t>
      </w:r>
      <w:r w:rsidR="00E6213F">
        <w:t>from</w:t>
      </w:r>
      <w:r>
        <w:t xml:space="preserve"> McGinnis Ferry Road</w:t>
      </w:r>
      <w:r w:rsidR="00E6213F">
        <w:t xml:space="preserve"> (Suwannee) along PIB to just south of Rogers Bridge (ends in Norcross</w:t>
      </w:r>
      <w:r>
        <w:t>.</w:t>
      </w:r>
    </w:p>
    <w:p w:rsidR="00F01FA6" w:rsidRPr="00E6213F" w:rsidRDefault="003B30DA" w:rsidP="003908DD">
      <w:pPr>
        <w:pStyle w:val="ListParagraph"/>
        <w:numPr>
          <w:ilvl w:val="0"/>
          <w:numId w:val="1"/>
        </w:numPr>
      </w:pPr>
      <w:r w:rsidRPr="00F01FA6">
        <w:rPr>
          <w:b/>
        </w:rPr>
        <w:t>Chattahoochee Cove is a 154 unit townhome community</w:t>
      </w:r>
      <w:r>
        <w:t xml:space="preserve"> spread over 15 acres </w:t>
      </w:r>
      <w:r w:rsidR="00CD1871">
        <w:t>chartered as</w:t>
      </w:r>
      <w:r>
        <w:t xml:space="preserve"> fee-</w:t>
      </w:r>
      <w:r w:rsidR="00CD1871">
        <w:t>simple built</w:t>
      </w:r>
      <w:r>
        <w:t xml:space="preserve"> in 199</w:t>
      </w:r>
      <w:r w:rsidR="00E34F90">
        <w:t>6</w:t>
      </w:r>
      <w:r>
        <w:t xml:space="preserve"> – 1998.  </w:t>
      </w:r>
      <w:r w:rsidRPr="00F01FA6">
        <w:rPr>
          <w:b/>
        </w:rPr>
        <w:t xml:space="preserve">The </w:t>
      </w:r>
      <w:r w:rsidR="00E34F90" w:rsidRPr="00F01FA6">
        <w:rPr>
          <w:b/>
        </w:rPr>
        <w:t xml:space="preserve">total </w:t>
      </w:r>
      <w:r w:rsidRPr="00F01FA6">
        <w:rPr>
          <w:b/>
        </w:rPr>
        <w:t>property value is currently estimated at $</w:t>
      </w:r>
      <w:r w:rsidR="00E34F90" w:rsidRPr="00F01FA6">
        <w:rPr>
          <w:b/>
        </w:rPr>
        <w:t>4</w:t>
      </w:r>
      <w:r w:rsidR="007C6D0D">
        <w:rPr>
          <w:b/>
        </w:rPr>
        <w:t>6</w:t>
      </w:r>
      <w:r w:rsidRPr="00F01FA6">
        <w:rPr>
          <w:b/>
        </w:rPr>
        <w:t>M</w:t>
      </w:r>
      <w:r w:rsidR="00311F83" w:rsidRPr="00F01FA6">
        <w:rPr>
          <w:b/>
        </w:rPr>
        <w:t>.</w:t>
      </w:r>
      <w:r w:rsidR="007C6D0D">
        <w:rPr>
          <w:b/>
        </w:rPr>
        <w:t>2</w:t>
      </w:r>
      <w:r w:rsidRPr="00F01FA6">
        <w:rPr>
          <w:b/>
        </w:rPr>
        <w:t xml:space="preserve"> (assumes $</w:t>
      </w:r>
      <w:r w:rsidR="007C6D0D">
        <w:rPr>
          <w:b/>
        </w:rPr>
        <w:t>300</w:t>
      </w:r>
      <w:r w:rsidRPr="00F01FA6">
        <w:rPr>
          <w:b/>
        </w:rPr>
        <w:t>k per unit)</w:t>
      </w:r>
      <w:r w:rsidR="005F6647" w:rsidRPr="00F01FA6">
        <w:rPr>
          <w:b/>
        </w:rPr>
        <w:t>:</w:t>
      </w:r>
    </w:p>
    <w:p w:rsidR="00E6213F" w:rsidRPr="00E6213F" w:rsidRDefault="00E6213F" w:rsidP="003908DD">
      <w:pPr>
        <w:pStyle w:val="ListParagraph"/>
        <w:numPr>
          <w:ilvl w:val="0"/>
          <w:numId w:val="1"/>
        </w:numPr>
      </w:pPr>
      <w:r w:rsidRPr="00E6213F">
        <w:t>Chattahoochee Cove sale price trends:</w:t>
      </w:r>
      <w:r w:rsidR="001F7B40">
        <w:t xml:space="preserve"> (development has 7 models ranging ~2,600 - ~1,300 sq. ft.)</w:t>
      </w:r>
    </w:p>
    <w:tbl>
      <w:tblPr>
        <w:tblW w:w="11396" w:type="dxa"/>
        <w:tblInd w:w="-72" w:type="dxa"/>
        <w:tblLook w:val="04A0" w:firstRow="1" w:lastRow="0" w:firstColumn="1" w:lastColumn="0" w:noHBand="0" w:noVBand="1"/>
      </w:tblPr>
      <w:tblGrid>
        <w:gridCol w:w="1825"/>
        <w:gridCol w:w="271"/>
        <w:gridCol w:w="1300"/>
        <w:gridCol w:w="1420"/>
        <w:gridCol w:w="1300"/>
        <w:gridCol w:w="1360"/>
        <w:gridCol w:w="1280"/>
        <w:gridCol w:w="1300"/>
        <w:gridCol w:w="1340"/>
      </w:tblGrid>
      <w:tr w:rsidR="005C67DA" w:rsidRPr="005C67DA" w:rsidTr="005C67DA">
        <w:trPr>
          <w:trHeight w:val="375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2023 YTD</w:t>
            </w:r>
          </w:p>
        </w:tc>
      </w:tr>
      <w:tr w:rsidR="005C67DA" w:rsidRPr="005C67DA" w:rsidTr="005C67DA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Avg Sale Price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$156,569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$195,008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$188,244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 xml:space="preserve">$203,903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 xml:space="preserve">$257,779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 xml:space="preserve">$306,269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 xml:space="preserve">$308,321 </w:t>
            </w:r>
          </w:p>
        </w:tc>
      </w:tr>
      <w:tr w:rsidR="005C67DA" w:rsidRPr="005C67DA" w:rsidTr="005C67DA">
        <w:trPr>
          <w:trHeight w:val="315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YoY % increase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-3%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</w:tr>
      <w:tr w:rsidR="005C67DA" w:rsidRPr="005C67DA" w:rsidTr="005C67DA">
        <w:trPr>
          <w:trHeight w:val="330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 of units sold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7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DA" w:rsidRPr="005C67DA" w:rsidRDefault="005C67DA" w:rsidP="005C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7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:rsidR="005D7631" w:rsidRPr="005D7631" w:rsidRDefault="0077355C" w:rsidP="005D7631">
      <w:pPr>
        <w:numPr>
          <w:ilvl w:val="0"/>
          <w:numId w:val="3"/>
        </w:numPr>
        <w:contextualSpacing/>
      </w:pPr>
      <w:r>
        <w:t xml:space="preserve">Each Homeowner has legal responsibility to maintain </w:t>
      </w:r>
      <w:r w:rsidR="009A0013">
        <w:t>its</w:t>
      </w:r>
      <w:r>
        <w:t xml:space="preserve"> </w:t>
      </w:r>
      <w:r w:rsidRPr="0077355C">
        <w:rPr>
          <w:u w:val="single"/>
        </w:rPr>
        <w:t>Limited-Common</w:t>
      </w:r>
      <w:r>
        <w:t xml:space="preserve"> landscaped area to community standards as delineated per Declaration of Covenants and Flats as recorded at Gwinnett Co. Georgia Records.  </w:t>
      </w:r>
      <w:r w:rsidR="005D7631" w:rsidRPr="005D7631">
        <w:t xml:space="preserve">As such, per Article IX, sec. 2 &amp; 3 (page 15 of HOA covenants): </w:t>
      </w:r>
      <w:r w:rsidR="005D7631" w:rsidRPr="000E380D">
        <w:rPr>
          <w:b/>
        </w:rPr>
        <w:t xml:space="preserve">Homeowner is responsible for exterior maintenance such as painting, siding and wood trim replacement (as appropriate) as well as </w:t>
      </w:r>
      <w:r w:rsidR="009A0013" w:rsidRPr="000E380D">
        <w:rPr>
          <w:b/>
        </w:rPr>
        <w:t>water leak repair</w:t>
      </w:r>
      <w:r w:rsidR="005D7631" w:rsidRPr="005D7631">
        <w:t>.</w:t>
      </w:r>
      <w:r w:rsidR="009A0013">
        <w:t xml:space="preserve">  HOA has responsibility for </w:t>
      </w:r>
      <w:r w:rsidR="009A0013" w:rsidRPr="000037BF">
        <w:rPr>
          <w:u w:val="single"/>
        </w:rPr>
        <w:t>Common</w:t>
      </w:r>
      <w:r w:rsidR="009A0013">
        <w:t xml:space="preserve"> </w:t>
      </w:r>
      <w:r w:rsidR="009A0013" w:rsidRPr="00843965">
        <w:rPr>
          <w:u w:val="single"/>
        </w:rPr>
        <w:t>area</w:t>
      </w:r>
      <w:r w:rsidR="009A0013">
        <w:t xml:space="preserve"> landscape maintenance as recorded at County Records and that which </w:t>
      </w:r>
      <w:r w:rsidR="001F7B40">
        <w:t>cover</w:t>
      </w:r>
      <w:r w:rsidR="009A0013">
        <w:t xml:space="preserve">s frontage area along Rogers Bridge Road including: tree/shrubbery, entryway signage, two flower beds, and two storm water retention ponds as well as maintaining the private streets (resurface/repair) and water line repair </w:t>
      </w:r>
      <w:r w:rsidR="000E380D">
        <w:t>with</w:t>
      </w:r>
      <w:r w:rsidR="009A0013">
        <w:t xml:space="preserve">in street variance.  </w:t>
      </w:r>
    </w:p>
    <w:p w:rsidR="00F22311" w:rsidRDefault="005D7631" w:rsidP="00C24F1D">
      <w:pPr>
        <w:numPr>
          <w:ilvl w:val="0"/>
          <w:numId w:val="3"/>
        </w:numPr>
        <w:contextualSpacing/>
      </w:pPr>
      <w:r w:rsidRPr="005D7631">
        <w:t>Repaint of unit shall match existing paint color and that of attached neighbor(s) or entire building agrees to change.</w:t>
      </w:r>
      <w:r>
        <w:t xml:space="preserve">  Al</w:t>
      </w:r>
      <w:r w:rsidR="0034108C">
        <w:t>so, reattach</w:t>
      </w:r>
      <w:r>
        <w:t xml:space="preserve"> fallen window shutters</w:t>
      </w:r>
      <w:r w:rsidR="0077355C">
        <w:t>, pressure washing drive pads</w:t>
      </w:r>
      <w:r w:rsidR="009A0013">
        <w:t>, repair</w:t>
      </w:r>
      <w:r w:rsidR="0077355C">
        <w:t xml:space="preserve"> of rotted trim and siding, gutters etc.</w:t>
      </w:r>
      <w:r w:rsidR="003C6547">
        <w:t xml:space="preserve">  </w:t>
      </w:r>
      <w:r w:rsidRPr="005D7631">
        <w:t xml:space="preserve">Over </w:t>
      </w:r>
      <w:r>
        <w:t>8</w:t>
      </w:r>
      <w:r w:rsidR="001F7B40">
        <w:t>5</w:t>
      </w:r>
      <w:r w:rsidRPr="005D7631">
        <w:t xml:space="preserve">% of units have been repainted </w:t>
      </w:r>
      <w:r w:rsidR="00706C93" w:rsidRPr="005D7631">
        <w:t>since 201</w:t>
      </w:r>
      <w:r w:rsidR="001F7B40">
        <w:t>6</w:t>
      </w:r>
      <w:r w:rsidRPr="005D7631">
        <w:t xml:space="preserve">.  </w:t>
      </w:r>
      <w:r w:rsidRPr="003C6547">
        <w:rPr>
          <w:b/>
        </w:rPr>
        <w:t xml:space="preserve">Failure to maintain will involve City of Duluth </w:t>
      </w:r>
      <w:r w:rsidR="00784DDA" w:rsidRPr="003C6547">
        <w:rPr>
          <w:b/>
        </w:rPr>
        <w:t>C</w:t>
      </w:r>
      <w:r w:rsidR="0077355C" w:rsidRPr="003C6547">
        <w:rPr>
          <w:b/>
        </w:rPr>
        <w:t xml:space="preserve">ode </w:t>
      </w:r>
      <w:r w:rsidR="00784DDA" w:rsidRPr="003C6547">
        <w:rPr>
          <w:b/>
        </w:rPr>
        <w:t>C</w:t>
      </w:r>
      <w:r w:rsidRPr="003C6547">
        <w:rPr>
          <w:b/>
        </w:rPr>
        <w:t xml:space="preserve">ompliance </w:t>
      </w:r>
      <w:r w:rsidR="00784DDA" w:rsidRPr="003C6547">
        <w:rPr>
          <w:b/>
        </w:rPr>
        <w:t>O</w:t>
      </w:r>
      <w:r w:rsidRPr="003C6547">
        <w:rPr>
          <w:b/>
        </w:rPr>
        <w:t xml:space="preserve">ffice.  </w:t>
      </w:r>
      <w:r w:rsidR="0077355C" w:rsidRPr="003C6547">
        <w:rPr>
          <w:b/>
        </w:rPr>
        <w:t>HOA Board mgt. will conduct spring review to notify of painting, w</w:t>
      </w:r>
      <w:r w:rsidR="00706C93" w:rsidRPr="003C6547">
        <w:rPr>
          <w:b/>
        </w:rPr>
        <w:t>ood rot or pressure wash required</w:t>
      </w:r>
      <w:r w:rsidR="00706C93">
        <w:t>.</w:t>
      </w:r>
      <w:r w:rsidR="003C6547">
        <w:t xml:space="preserve">  </w:t>
      </w:r>
      <w:r w:rsidR="00F22311">
        <w:t>Community residents voted several years ago to employ a la</w:t>
      </w:r>
      <w:r w:rsidR="000E380D">
        <w:t>wn service</w:t>
      </w:r>
      <w:r w:rsidR="00F22311">
        <w:t xml:space="preserve"> company to ensure </w:t>
      </w:r>
      <w:r w:rsidR="00CF4571">
        <w:t xml:space="preserve">minimal </w:t>
      </w:r>
      <w:r w:rsidR="00F22311">
        <w:t>lawn maintenance uniformity</w:t>
      </w:r>
      <w:r w:rsidR="00393FB7">
        <w:t xml:space="preserve"> for homeowner</w:t>
      </w:r>
      <w:r w:rsidR="0056680A">
        <w:t>’s</w:t>
      </w:r>
      <w:r w:rsidR="00393FB7">
        <w:t xml:space="preserve"> </w:t>
      </w:r>
      <w:r w:rsidR="00706C93" w:rsidRPr="003C6547">
        <w:rPr>
          <w:u w:val="single"/>
        </w:rPr>
        <w:t>L</w:t>
      </w:r>
      <w:r w:rsidR="00393FB7" w:rsidRPr="003C6547">
        <w:rPr>
          <w:u w:val="single"/>
        </w:rPr>
        <w:t xml:space="preserve">imited </w:t>
      </w:r>
      <w:r w:rsidR="00706C93" w:rsidRPr="003C6547">
        <w:rPr>
          <w:u w:val="single"/>
        </w:rPr>
        <w:t>C</w:t>
      </w:r>
      <w:r w:rsidR="00393FB7" w:rsidRPr="003C6547">
        <w:rPr>
          <w:u w:val="single"/>
        </w:rPr>
        <w:t>ommon</w:t>
      </w:r>
      <w:r w:rsidR="00393FB7">
        <w:t xml:space="preserve"> areas.</w:t>
      </w:r>
      <w:r w:rsidR="000037BF">
        <w:t xml:space="preserve">  </w:t>
      </w:r>
      <w:r w:rsidR="000E380D">
        <w:t>Beltran</w:t>
      </w:r>
      <w:r w:rsidR="00CF4571">
        <w:t xml:space="preserve"> </w:t>
      </w:r>
      <w:r w:rsidR="00F22311">
        <w:t xml:space="preserve">contracted to </w:t>
      </w:r>
      <w:r w:rsidR="00CF4571">
        <w:t xml:space="preserve">provide minimal services (e.g.) </w:t>
      </w:r>
      <w:r w:rsidR="00F22311">
        <w:t>cut grass, trim bushes</w:t>
      </w:r>
      <w:r w:rsidR="00CD1871">
        <w:t>, edging</w:t>
      </w:r>
      <w:r w:rsidR="00F22311">
        <w:t xml:space="preserve"> and leaf removal</w:t>
      </w:r>
      <w:r w:rsidR="00CF4571">
        <w:t>.  A</w:t>
      </w:r>
      <w:r w:rsidR="00F22311">
        <w:t xml:space="preserve"> portion </w:t>
      </w:r>
      <w:r w:rsidR="007F36FE">
        <w:t xml:space="preserve">(22%) </w:t>
      </w:r>
      <w:r w:rsidR="00F22311">
        <w:t xml:space="preserve">of </w:t>
      </w:r>
      <w:r w:rsidR="00CF4571">
        <w:t xml:space="preserve">the </w:t>
      </w:r>
      <w:r w:rsidR="00F22311">
        <w:t xml:space="preserve">monthly </w:t>
      </w:r>
      <w:r w:rsidR="00CD1871">
        <w:t xml:space="preserve">$150 </w:t>
      </w:r>
      <w:r w:rsidR="00A1262B">
        <w:t>HOA fees</w:t>
      </w:r>
      <w:r w:rsidR="00F22311">
        <w:t xml:space="preserve"> </w:t>
      </w:r>
      <w:r w:rsidR="00CF4571">
        <w:t>($3</w:t>
      </w:r>
      <w:r w:rsidR="007F36FE">
        <w:t>3</w:t>
      </w:r>
      <w:r w:rsidR="00CF4571">
        <w:t>) supports this service</w:t>
      </w:r>
      <w:r w:rsidR="00F22311">
        <w:t>.</w:t>
      </w:r>
    </w:p>
    <w:p w:rsidR="00F22311" w:rsidRDefault="00F22311" w:rsidP="00F22311">
      <w:pPr>
        <w:pStyle w:val="ListParagraph"/>
        <w:numPr>
          <w:ilvl w:val="0"/>
          <w:numId w:val="4"/>
        </w:numPr>
      </w:pPr>
      <w:r>
        <w:t xml:space="preserve">Any additional work from </w:t>
      </w:r>
      <w:r w:rsidR="00CC2180">
        <w:t xml:space="preserve">a </w:t>
      </w:r>
      <w:r w:rsidR="00843965">
        <w:t>landscaping provider is</w:t>
      </w:r>
      <w:r>
        <w:t xml:space="preserve"> </w:t>
      </w:r>
      <w:r w:rsidR="00843965">
        <w:t xml:space="preserve">a </w:t>
      </w:r>
      <w:r>
        <w:t xml:space="preserve">direct </w:t>
      </w:r>
      <w:r w:rsidR="00AA4A05">
        <w:t xml:space="preserve">financial </w:t>
      </w:r>
      <w:r>
        <w:t>relationship with each homeowner.</w:t>
      </w:r>
    </w:p>
    <w:p w:rsidR="00F22311" w:rsidRDefault="00F22311" w:rsidP="00F22311">
      <w:pPr>
        <w:pStyle w:val="ListParagraph"/>
        <w:numPr>
          <w:ilvl w:val="0"/>
          <w:numId w:val="1"/>
        </w:numPr>
      </w:pPr>
      <w:r w:rsidRPr="00784DDA">
        <w:rPr>
          <w:b/>
        </w:rPr>
        <w:t>Curbside parking</w:t>
      </w:r>
      <w:r w:rsidRPr="00F22311">
        <w:t xml:space="preserve"> is prohibited per Article X, Sec. 4, and subsection (c) as codified by the builder/developer on record with Gwinnett Co.  Prohibited </w:t>
      </w:r>
      <w:r w:rsidR="000037BF">
        <w:t xml:space="preserve">off-street </w:t>
      </w:r>
      <w:r w:rsidRPr="00F22311">
        <w:t xml:space="preserve">parking clogs our narrow streets, hinders driver vision, disrupts mailbox delivery and creates unsafe environment for vehicles backing out of driveway </w:t>
      </w:r>
      <w:r w:rsidR="000037BF">
        <w:t xml:space="preserve">from </w:t>
      </w:r>
      <w:r w:rsidRPr="00F22311">
        <w:t>across street.</w:t>
      </w:r>
    </w:p>
    <w:p w:rsidR="00F22311" w:rsidRDefault="00F22311" w:rsidP="00F22311">
      <w:pPr>
        <w:pStyle w:val="ListParagraph"/>
        <w:numPr>
          <w:ilvl w:val="0"/>
          <w:numId w:val="6"/>
        </w:numPr>
      </w:pPr>
      <w:r>
        <w:t xml:space="preserve">City of Duluth ordinances (Chapter 8 of Municipal Parking Code) </w:t>
      </w:r>
      <w:r w:rsidRPr="00784DDA">
        <w:rPr>
          <w:b/>
        </w:rPr>
        <w:t xml:space="preserve">strictly prohibits </w:t>
      </w:r>
      <w:r w:rsidR="00843965" w:rsidRPr="00784DDA">
        <w:rPr>
          <w:b/>
        </w:rPr>
        <w:t xml:space="preserve">curbside </w:t>
      </w:r>
      <w:r w:rsidRPr="00784DDA">
        <w:rPr>
          <w:b/>
        </w:rPr>
        <w:t>parking</w:t>
      </w:r>
      <w:r>
        <w:t xml:space="preserve"> within 20 feet of </w:t>
      </w:r>
      <w:r w:rsidR="00843965">
        <w:t xml:space="preserve">an </w:t>
      </w:r>
      <w:r>
        <w:t>intersection/crosswalk, and within 15 feet on either side of a fire hydrant.</w:t>
      </w:r>
      <w:r w:rsidR="000037BF">
        <w:t xml:space="preserve"> (HOA strictly enforces</w:t>
      </w:r>
      <w:r w:rsidR="006F4EFB">
        <w:t xml:space="preserve"> reasonableness).</w:t>
      </w:r>
    </w:p>
    <w:p w:rsidR="0067256B" w:rsidRDefault="00F22311" w:rsidP="0067256B">
      <w:pPr>
        <w:pStyle w:val="ListParagraph"/>
        <w:numPr>
          <w:ilvl w:val="0"/>
          <w:numId w:val="6"/>
        </w:numPr>
      </w:pPr>
      <w:r w:rsidRPr="00C24F1D">
        <w:rPr>
          <w:b/>
        </w:rPr>
        <w:t>Most dangerous environment</w:t>
      </w:r>
      <w:r>
        <w:t xml:space="preserve"> of the property is intersection of </w:t>
      </w:r>
      <w:r w:rsidRPr="00843965">
        <w:rPr>
          <w:u w:val="single"/>
        </w:rPr>
        <w:t xml:space="preserve">Spring Cove </w:t>
      </w:r>
      <w:r w:rsidR="00843965">
        <w:rPr>
          <w:u w:val="single"/>
        </w:rPr>
        <w:t>&amp;</w:t>
      </w:r>
      <w:r w:rsidRPr="00843965">
        <w:rPr>
          <w:u w:val="single"/>
        </w:rPr>
        <w:t xml:space="preserve"> Summit Cove</w:t>
      </w:r>
      <w:r>
        <w:t xml:space="preserve"> due to curved area and hill on Spring Cove.  </w:t>
      </w:r>
      <w:r w:rsidRPr="00D2585B">
        <w:rPr>
          <w:u w:val="single"/>
        </w:rPr>
        <w:t>No Parking</w:t>
      </w:r>
      <w:r>
        <w:t xml:space="preserve"> signage has been placed at those critical areas of the property where towing is </w:t>
      </w:r>
      <w:r w:rsidR="00CF4571">
        <w:t xml:space="preserve">a </w:t>
      </w:r>
      <w:r>
        <w:t xml:space="preserve">potential </w:t>
      </w:r>
      <w:r>
        <w:lastRenderedPageBreak/>
        <w:t xml:space="preserve">deterrent for chronic abusers.  </w:t>
      </w:r>
      <w:r w:rsidR="00843965">
        <w:t>The H</w:t>
      </w:r>
      <w:r>
        <w:t xml:space="preserve">OA has recently contracted with </w:t>
      </w:r>
      <w:r w:rsidR="00843965">
        <w:t xml:space="preserve">local </w:t>
      </w:r>
      <w:r>
        <w:t xml:space="preserve">Express Towing </w:t>
      </w:r>
      <w:r w:rsidR="00843965">
        <w:t xml:space="preserve">in Duluth </w:t>
      </w:r>
      <w:r w:rsidR="00D2585B">
        <w:t>(</w:t>
      </w:r>
      <w:r w:rsidR="00943513">
        <w:t xml:space="preserve">2785 </w:t>
      </w:r>
      <w:r w:rsidR="00D2585B">
        <w:t>Buford Highway</w:t>
      </w:r>
      <w:r w:rsidR="00943513">
        <w:t>).  New signage was been pos</w:t>
      </w:r>
      <w:r>
        <w:t xml:space="preserve">ted </w:t>
      </w:r>
      <w:r w:rsidR="00706C93">
        <w:t xml:space="preserve">on property </w:t>
      </w:r>
      <w:r>
        <w:t xml:space="preserve">with pertinent </w:t>
      </w:r>
      <w:r w:rsidR="00D86964">
        <w:t xml:space="preserve">towed </w:t>
      </w:r>
      <w:r w:rsidR="00943513">
        <w:t xml:space="preserve">car reclamation </w:t>
      </w:r>
      <w:r>
        <w:t>information.</w:t>
      </w:r>
    </w:p>
    <w:p w:rsidR="0067256B" w:rsidRDefault="0067256B" w:rsidP="0067256B">
      <w:pPr>
        <w:pStyle w:val="ListParagraph"/>
        <w:numPr>
          <w:ilvl w:val="0"/>
          <w:numId w:val="1"/>
        </w:numPr>
      </w:pPr>
      <w:r w:rsidRPr="00784DDA">
        <w:rPr>
          <w:b/>
        </w:rPr>
        <w:t>Water conservation</w:t>
      </w:r>
      <w:r w:rsidRPr="0067256B">
        <w:t xml:space="preserve"> is necessary to maintain affordable monthly consumption usage.  Approximately 5</w:t>
      </w:r>
      <w:r w:rsidR="00A07D88">
        <w:t>6</w:t>
      </w:r>
      <w:r w:rsidRPr="0067256B">
        <w:t>% ($</w:t>
      </w:r>
      <w:r w:rsidR="00751FAD">
        <w:t>8</w:t>
      </w:r>
      <w:r w:rsidR="00A07D88">
        <w:t>4</w:t>
      </w:r>
      <w:r w:rsidRPr="0067256B">
        <w:t>) of monthly fees are dedicated to covering water/sewage expense.</w:t>
      </w:r>
      <w:r w:rsidR="002A5EAD">
        <w:t xml:space="preserve"> </w:t>
      </w:r>
      <w:r w:rsidRPr="0067256B">
        <w:t xml:space="preserve"> Following are tips from Gwinnett Co Resources dept. (gwinnetth20.com) to reduce unnecessary water consumption:</w:t>
      </w:r>
    </w:p>
    <w:p w:rsidR="0067256B" w:rsidRDefault="0067256B" w:rsidP="0067256B">
      <w:pPr>
        <w:pStyle w:val="ListParagraph"/>
        <w:numPr>
          <w:ilvl w:val="0"/>
          <w:numId w:val="7"/>
        </w:numPr>
      </w:pPr>
      <w:r>
        <w:t>Replace toilets with new low-flow high efficiency Toilets (HETs) as this activity accounts for ~30% of average home water consumption.  Outdated shower heads provide account for ~17% of home water usage and ensure efficiency.</w:t>
      </w:r>
    </w:p>
    <w:p w:rsidR="0067256B" w:rsidRDefault="0067256B" w:rsidP="0067256B">
      <w:pPr>
        <w:pStyle w:val="ListParagraph"/>
        <w:numPr>
          <w:ilvl w:val="0"/>
          <w:numId w:val="7"/>
        </w:numPr>
      </w:pPr>
      <w:r w:rsidRPr="009039AE">
        <w:rPr>
          <w:b/>
        </w:rPr>
        <w:t>Replace hot water heater if unit is &gt; 12 years old</w:t>
      </w:r>
      <w:r>
        <w:t xml:space="preserve"> (date stamped on side of unit). Newer is more energy efficient.</w:t>
      </w:r>
    </w:p>
    <w:p w:rsidR="0067256B" w:rsidRDefault="0067256B" w:rsidP="0067256B">
      <w:pPr>
        <w:pStyle w:val="ListParagraph"/>
        <w:numPr>
          <w:ilvl w:val="0"/>
          <w:numId w:val="7"/>
        </w:numPr>
      </w:pPr>
      <w:r w:rsidRPr="00A51245">
        <w:rPr>
          <w:u w:val="single"/>
        </w:rPr>
        <w:t xml:space="preserve">Critical to replace faulty Pressure </w:t>
      </w:r>
      <w:r w:rsidR="00A51245" w:rsidRPr="00A51245">
        <w:rPr>
          <w:u w:val="single"/>
        </w:rPr>
        <w:t>Regulator Valve</w:t>
      </w:r>
      <w:r w:rsidRPr="00A51245">
        <w:rPr>
          <w:u w:val="single"/>
        </w:rPr>
        <w:t xml:space="preserve"> (PRV)</w:t>
      </w:r>
      <w:r>
        <w:t xml:space="preserve"> as evidenced by water continually dripping from outlet pipe outside home</w:t>
      </w:r>
      <w:r w:rsidR="002A5EAD">
        <w:t xml:space="preserve"> or on basement/garage floor</w:t>
      </w:r>
      <w:r>
        <w:t>.</w:t>
      </w:r>
      <w:r w:rsidR="00A51245">
        <w:t xml:space="preserve">  Recommended pressure setting is 55 – 75 PSI; replace every 5 yrs.</w:t>
      </w:r>
    </w:p>
    <w:p w:rsidR="0067256B" w:rsidRDefault="0067256B" w:rsidP="0067256B">
      <w:pPr>
        <w:pStyle w:val="ListParagraph"/>
        <w:numPr>
          <w:ilvl w:val="0"/>
          <w:numId w:val="7"/>
        </w:numPr>
      </w:pPr>
      <w:r>
        <w:t>Do not over water gardens/flower beds in summer months; only water in early morning or late evening (evaporation).</w:t>
      </w:r>
    </w:p>
    <w:p w:rsidR="0067256B" w:rsidRDefault="0067256B" w:rsidP="0067256B">
      <w:pPr>
        <w:pStyle w:val="ListParagraph"/>
        <w:numPr>
          <w:ilvl w:val="0"/>
          <w:numId w:val="1"/>
        </w:numPr>
      </w:pPr>
      <w:r w:rsidRPr="00784DDA">
        <w:rPr>
          <w:b/>
        </w:rPr>
        <w:t>Trash and Recycle</w:t>
      </w:r>
      <w:r>
        <w:t xml:space="preserve"> pickups serviced by Republic Services are scheduled </w:t>
      </w:r>
      <w:r w:rsidR="00943513">
        <w:t xml:space="preserve">for </w:t>
      </w:r>
      <w:r w:rsidR="009A0013">
        <w:t>Mond</w:t>
      </w:r>
      <w:r w:rsidR="00943513">
        <w:t xml:space="preserve">ay </w:t>
      </w:r>
      <w:r w:rsidR="00D80A47">
        <w:t>starting 01/01/202</w:t>
      </w:r>
      <w:r w:rsidR="00D86964">
        <w:t>2</w:t>
      </w:r>
      <w:r>
        <w:t xml:space="preserve"> with 2 separate runs.  Recycle bins are available </w:t>
      </w:r>
      <w:r w:rsidR="00363B53">
        <w:t>at Public Works center</w:t>
      </w:r>
      <w:r>
        <w:t xml:space="preserve"> and purple/green trash bags available </w:t>
      </w:r>
      <w:r w:rsidR="00D80A47">
        <w:t xml:space="preserve">for purchase </w:t>
      </w:r>
      <w:r>
        <w:t xml:space="preserve">from participating </w:t>
      </w:r>
      <w:r w:rsidR="002A5EAD">
        <w:t xml:space="preserve">neighboring </w:t>
      </w:r>
      <w:r>
        <w:t>grocery stores</w:t>
      </w:r>
      <w:r w:rsidR="00D86964">
        <w:t xml:space="preserve"> (Publix, Kroger etc)</w:t>
      </w:r>
      <w:r>
        <w:t>.</w:t>
      </w:r>
    </w:p>
    <w:p w:rsidR="008D1945" w:rsidRDefault="008D1945" w:rsidP="008D1945">
      <w:pPr>
        <w:pStyle w:val="ListParagraph"/>
        <w:numPr>
          <w:ilvl w:val="0"/>
          <w:numId w:val="10"/>
        </w:numPr>
      </w:pPr>
      <w:r>
        <w:t xml:space="preserve">Large items (beds, furniture, grill etc.) </w:t>
      </w:r>
      <w:r w:rsidR="00363B53">
        <w:t>can</w:t>
      </w:r>
      <w:r>
        <w:t xml:space="preserve"> be picked up with advance 24 hour requests made (678.963.2800 or www.Republicservices.com).  A purple/green bag must be attached to each item to ensure pickup.</w:t>
      </w:r>
    </w:p>
    <w:p w:rsidR="008D1945" w:rsidRDefault="00D80A47" w:rsidP="008D1945">
      <w:pPr>
        <w:pStyle w:val="ListParagraph"/>
        <w:numPr>
          <w:ilvl w:val="0"/>
          <w:numId w:val="10"/>
        </w:numPr>
      </w:pPr>
      <w:r>
        <w:t>P</w:t>
      </w:r>
      <w:r w:rsidR="008D1945">
        <w:t xml:space="preserve">lace trash curbside no earlier than </w:t>
      </w:r>
      <w:r w:rsidR="009A0013">
        <w:t>Sun</w:t>
      </w:r>
      <w:r>
        <w:t>day 6:00p</w:t>
      </w:r>
      <w:r w:rsidR="008D1945">
        <w:t xml:space="preserve"> evening and remove bins by </w:t>
      </w:r>
      <w:r w:rsidR="00784DDA">
        <w:t>Mon</w:t>
      </w:r>
      <w:r w:rsidR="008D1945">
        <w:t>day evening to prevent eyesore.</w:t>
      </w:r>
    </w:p>
    <w:p w:rsidR="008D1945" w:rsidRDefault="008D1945" w:rsidP="008D1945">
      <w:pPr>
        <w:pStyle w:val="ListParagraph"/>
        <w:numPr>
          <w:ilvl w:val="0"/>
          <w:numId w:val="10"/>
        </w:numPr>
      </w:pPr>
      <w:r>
        <w:t xml:space="preserve">City of Duluth annual dumpster cards can be obtained at 2450 Main Street or </w:t>
      </w:r>
      <w:hyperlink r:id="rId9" w:history="1">
        <w:r w:rsidRPr="00A87079">
          <w:rPr>
            <w:rStyle w:val="Hyperlink"/>
          </w:rPr>
          <w:t>www.duluthga.net</w:t>
        </w:r>
      </w:hyperlink>
      <w:r>
        <w:t xml:space="preserve"> for yard waste discard. Twelve trips are allowed prior to a $25 fee assessment for each additional </w:t>
      </w:r>
      <w:r w:rsidR="00946D4B">
        <w:t>visit</w:t>
      </w:r>
      <w:r>
        <w:t>.  Gla</w:t>
      </w:r>
      <w:r w:rsidR="00943513">
        <w:t xml:space="preserve">ss </w:t>
      </w:r>
      <w:r w:rsidR="00D80A47">
        <w:t>recycles</w:t>
      </w:r>
      <w:r w:rsidR="00943513">
        <w:t xml:space="preserve"> visits free.</w:t>
      </w:r>
    </w:p>
    <w:p w:rsidR="000F52C0" w:rsidRDefault="008D1945" w:rsidP="008D1945">
      <w:pPr>
        <w:pStyle w:val="ListParagraph"/>
        <w:numPr>
          <w:ilvl w:val="0"/>
          <w:numId w:val="1"/>
        </w:numPr>
      </w:pPr>
      <w:r>
        <w:t xml:space="preserve">Chattahoochee Cove is a designated AT&amp;T </w:t>
      </w:r>
      <w:r w:rsidRPr="00784DDA">
        <w:rPr>
          <w:b/>
        </w:rPr>
        <w:t>internet fiber community</w:t>
      </w:r>
      <w:r>
        <w:t xml:space="preserve"> with broadband speeds available up to 1Gps.  Fiber was installed 2015 and is available at the curb of each unit.  A service call is required to bring the fiber drop inside the home to the designated room(s).  Charter/Spectrum also provides cable service</w:t>
      </w:r>
      <w:r w:rsidR="00943513">
        <w:t>.</w:t>
      </w:r>
      <w:r>
        <w:t xml:space="preserve">  Pls</w:t>
      </w:r>
      <w:r w:rsidR="00D80A47">
        <w:t>.</w:t>
      </w:r>
      <w:r>
        <w:t xml:space="preserve"> ensure access lines (AT&amp;T = black/Charter = orange) are buried in a timely period within a couple weeks </w:t>
      </w:r>
      <w:r w:rsidR="002A5EAD">
        <w:t xml:space="preserve">of install </w:t>
      </w:r>
      <w:r>
        <w:t xml:space="preserve">to prevent </w:t>
      </w:r>
      <w:r w:rsidR="002A5EAD">
        <w:t>cut lines</w:t>
      </w:r>
      <w:r w:rsidR="00363B53">
        <w:t>. I</w:t>
      </w:r>
      <w:r>
        <w:t xml:space="preserve">t requires a service request made by </w:t>
      </w:r>
      <w:r w:rsidR="002A5EAD">
        <w:t>account holder</w:t>
      </w:r>
      <w:r w:rsidR="00943513">
        <w:t xml:space="preserve"> to service provider.  A neighbor cannot make the request on behalf of.</w:t>
      </w:r>
    </w:p>
    <w:p w:rsidR="000F52C0" w:rsidRDefault="000F52C0" w:rsidP="000F52C0">
      <w:pPr>
        <w:pStyle w:val="ListParagraph"/>
        <w:numPr>
          <w:ilvl w:val="0"/>
          <w:numId w:val="1"/>
        </w:numPr>
      </w:pPr>
      <w:r>
        <w:t xml:space="preserve">Chattahoochee Cove </w:t>
      </w:r>
      <w:r w:rsidRPr="00784DDA">
        <w:rPr>
          <w:b/>
        </w:rPr>
        <w:t>maintains its own website (chattahoocheecove.org)</w:t>
      </w:r>
      <w:r>
        <w:t xml:space="preserve"> </w:t>
      </w:r>
      <w:r w:rsidR="008C4E41">
        <w:t>which contains</w:t>
      </w:r>
      <w:r>
        <w:t xml:space="preserve"> copies of official documents such as Gwinnett County </w:t>
      </w:r>
      <w:r w:rsidR="002A5EAD">
        <w:t xml:space="preserve">legally </w:t>
      </w:r>
      <w:r>
        <w:t xml:space="preserve">registered covenants and by-laws.  The site contains additional detail on topics discussed in this presentation </w:t>
      </w:r>
      <w:r w:rsidR="002A5EAD">
        <w:t>(</w:t>
      </w:r>
      <w:r>
        <w:t>which have been distributed to residents throughout the year electronically</w:t>
      </w:r>
      <w:r w:rsidR="002A5EAD">
        <w:t>)</w:t>
      </w:r>
      <w:r>
        <w:t xml:space="preserve"> such as curbside parking restrictions, garbage and recycle information from city of Duluth as well as Republic Services, water conservation tips and detail, a two page welcome packet to new residents as well as operating expense budget detail.</w:t>
      </w:r>
    </w:p>
    <w:p w:rsidR="000F52C0" w:rsidRDefault="000F52C0" w:rsidP="000F52C0">
      <w:pPr>
        <w:pStyle w:val="ListParagraph"/>
        <w:numPr>
          <w:ilvl w:val="0"/>
          <w:numId w:val="1"/>
        </w:numPr>
      </w:pPr>
      <w:r w:rsidRPr="00784DDA">
        <w:rPr>
          <w:b/>
        </w:rPr>
        <w:t>Sharper Image Management Consultants</w:t>
      </w:r>
      <w:r>
        <w:t xml:space="preserve"> is our contracted property management company providing administrative support to the Chattahoochee Cove Homeowners Association of which every resident is a member by virtue of ownership.  Contact informa</w:t>
      </w:r>
      <w:r w:rsidR="00943513">
        <w:t xml:space="preserve">tion </w:t>
      </w:r>
      <w:r w:rsidR="002A5EAD">
        <w:t xml:space="preserve">for Sharper’s </w:t>
      </w:r>
      <w:r w:rsidR="00943513">
        <w:t>is the following: 770.973.</w:t>
      </w:r>
      <w:r>
        <w:t xml:space="preserve">5989 and </w:t>
      </w:r>
      <w:hyperlink r:id="rId10" w:history="1">
        <w:r w:rsidRPr="00A87079">
          <w:rPr>
            <w:rStyle w:val="Hyperlink"/>
          </w:rPr>
          <w:t>www.simcionline.com</w:t>
        </w:r>
      </w:hyperlink>
      <w:r>
        <w:t xml:space="preserve">.  </w:t>
      </w:r>
    </w:p>
    <w:p w:rsidR="00B67CA2" w:rsidRDefault="00B67CA2" w:rsidP="00B67CA2">
      <w:pPr>
        <w:pStyle w:val="ListParagraph"/>
        <w:numPr>
          <w:ilvl w:val="0"/>
          <w:numId w:val="11"/>
        </w:numPr>
      </w:pPr>
      <w:r w:rsidRPr="00AC3A3A">
        <w:t xml:space="preserve">Services provided include financial (monthly fee collections and pursuit of delinquent accounts), </w:t>
      </w:r>
      <w:r w:rsidR="002A5EAD" w:rsidRPr="00AC3A3A">
        <w:t>maintena</w:t>
      </w:r>
      <w:r w:rsidR="002A5EAD">
        <w:t>nce of</w:t>
      </w:r>
      <w:r w:rsidRPr="00AC3A3A">
        <w:t xml:space="preserve"> </w:t>
      </w:r>
      <w:r>
        <w:t xml:space="preserve">account </w:t>
      </w:r>
      <w:r w:rsidRPr="00AC3A3A">
        <w:t>payable activity, balance sheet, operating statements etc.  Sharpers also manage correspondence from residents to the HOA Board of Directors in a time</w:t>
      </w:r>
      <w:r w:rsidR="009249F7">
        <w:t>ly</w:t>
      </w:r>
      <w:r w:rsidRPr="00AC3A3A">
        <w:t xml:space="preserve"> fashion with 24 hour service availability (office </w:t>
      </w:r>
      <w:r w:rsidR="00943513" w:rsidRPr="00AC3A3A">
        <w:t>staff opens</w:t>
      </w:r>
      <w:r w:rsidRPr="00AC3A3A">
        <w:t xml:space="preserve"> from 9:00 – 4:00 M-F with answering service available off-hours.</w:t>
      </w:r>
    </w:p>
    <w:p w:rsidR="00393FB7" w:rsidRDefault="00393FB7" w:rsidP="00B67CA2">
      <w:pPr>
        <w:pStyle w:val="ListParagraph"/>
        <w:numPr>
          <w:ilvl w:val="0"/>
          <w:numId w:val="11"/>
        </w:numPr>
      </w:pPr>
      <w:r>
        <w:t xml:space="preserve">As example, contact Sharpers for request to shut water service to the Community if plumbing repair is required at the unit.  Only a request from a certified and licensed plumber will be considered due to the consequential impacts of a shutdown.  A form is available </w:t>
      </w:r>
      <w:r w:rsidR="002A5EAD">
        <w:t xml:space="preserve">(Sharper’s) </w:t>
      </w:r>
      <w:r>
        <w:t>and must be completed by homeowner providing service detail.</w:t>
      </w:r>
    </w:p>
    <w:p w:rsidR="00B67CA2" w:rsidRDefault="00B67CA2" w:rsidP="00B67CA2">
      <w:pPr>
        <w:pStyle w:val="ListParagraph"/>
        <w:numPr>
          <w:ilvl w:val="0"/>
          <w:numId w:val="1"/>
        </w:numPr>
      </w:pPr>
      <w:r w:rsidRPr="00784DDA">
        <w:rPr>
          <w:b/>
        </w:rPr>
        <w:t>Preferred ser</w:t>
      </w:r>
      <w:r w:rsidR="002A5EAD" w:rsidRPr="00784DDA">
        <w:rPr>
          <w:b/>
        </w:rPr>
        <w:t>vice providers</w:t>
      </w:r>
      <w:r w:rsidR="002A5EAD">
        <w:t xml:space="preserve"> utilized by</w:t>
      </w:r>
      <w:r w:rsidR="000777F8">
        <w:t xml:space="preserve"> the HOA for problem solutions: Premier Pressure</w:t>
      </w:r>
      <w:r>
        <w:t xml:space="preserve"> Washing (404.348.2861) for driveway, gutter clean-out and siding cleaning.  James Bardsley Plumbing (678.376.1664) for residential servicing. Beltran Landscaping (678.499.6017) for flowers, decorative rock/paver installations/tree trimming etc.  </w:t>
      </w:r>
      <w:r w:rsidR="00770564">
        <w:t>Brockett Construction</w:t>
      </w:r>
      <w:r>
        <w:t xml:space="preserve"> (770.614.7852)</w:t>
      </w:r>
      <w:r w:rsidR="00770564">
        <w:t xml:space="preserve"> </w:t>
      </w:r>
      <w:r>
        <w:t xml:space="preserve">for home remodeling jobs and repairs/painting/floor install etc. </w:t>
      </w:r>
      <w:r w:rsidR="006F4EFB">
        <w:t xml:space="preserve"> </w:t>
      </w:r>
      <w:r>
        <w:t>Mailbox post replacement: Sign Kwik (770.623.1669); Residential Realtor</w:t>
      </w:r>
      <w:r w:rsidR="000777F8">
        <w:t xml:space="preserve"> (Virtual Properties</w:t>
      </w:r>
      <w:r>
        <w:t>: Charlotte Brandi (678.576.0567).</w:t>
      </w:r>
    </w:p>
    <w:p w:rsidR="000F52C0" w:rsidRDefault="00946D4B" w:rsidP="00770564">
      <w:pPr>
        <w:pStyle w:val="ListParagraph"/>
        <w:numPr>
          <w:ilvl w:val="0"/>
          <w:numId w:val="12"/>
        </w:numPr>
      </w:pPr>
      <w:r>
        <w:t xml:space="preserve">Mailboxes can be purchased </w:t>
      </w:r>
      <w:r w:rsidR="003032E4">
        <w:t xml:space="preserve">at </w:t>
      </w:r>
      <w:r>
        <w:t xml:space="preserve">Home Depot: manufacturer is </w:t>
      </w:r>
      <w:r w:rsidR="00D86964">
        <w:t>Gibraltar</w:t>
      </w:r>
      <w:bookmarkStart w:id="0" w:name="_GoBack"/>
      <w:bookmarkEnd w:id="0"/>
      <w:r>
        <w:t>; Large/Black, model # 438673 for &lt; $30</w:t>
      </w:r>
      <w:r w:rsidR="00770564">
        <w:t>.</w:t>
      </w:r>
    </w:p>
    <w:p w:rsidR="008D1945" w:rsidRDefault="008D1945" w:rsidP="00393FB7">
      <w:pPr>
        <w:ind w:left="360"/>
      </w:pPr>
    </w:p>
    <w:p w:rsidR="00C04C25" w:rsidRDefault="00C04C25" w:rsidP="0008736E">
      <w:pPr>
        <w:ind w:left="720"/>
      </w:pPr>
    </w:p>
    <w:p w:rsidR="0008736E" w:rsidRPr="00F756A9" w:rsidRDefault="0008736E" w:rsidP="007A74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756A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Chattahoochee Cove Historical Water </w:t>
      </w:r>
      <w:r w:rsidR="007A742D" w:rsidRPr="00F756A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Usage </w:t>
      </w:r>
      <w:r w:rsidRPr="00F756A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Billing:</w:t>
      </w:r>
    </w:p>
    <w:p w:rsidR="0008736E" w:rsidRPr="00C04C25" w:rsidRDefault="0008736E" w:rsidP="0008736E">
      <w:pPr>
        <w:ind w:left="720"/>
      </w:pPr>
    </w:p>
    <w:tbl>
      <w:tblPr>
        <w:tblW w:w="7860" w:type="dxa"/>
        <w:jc w:val="center"/>
        <w:tblInd w:w="93" w:type="dxa"/>
        <w:tblLook w:val="04A0" w:firstRow="1" w:lastRow="0" w:firstColumn="1" w:lastColumn="0" w:noHBand="0" w:noVBand="1"/>
      </w:tblPr>
      <w:tblGrid>
        <w:gridCol w:w="2166"/>
        <w:gridCol w:w="1684"/>
        <w:gridCol w:w="1956"/>
        <w:gridCol w:w="646"/>
        <w:gridCol w:w="1503"/>
      </w:tblGrid>
      <w:tr w:rsidR="00F756A9" w:rsidRPr="00F756A9" w:rsidTr="00F756A9">
        <w:trPr>
          <w:trHeight w:val="300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2023: water rates = $5.53 gal (+4.5% from 2022)/ sewage = $9.02 (+4.5% from 2022)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Jan-23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731.4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34.0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21.5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$11,981.09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Feb-23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530.0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27.0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19.6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$9,267.50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Mar-23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591.5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30.0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19.7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$10,162.33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Apr-23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649.1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32.0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20.3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$11,000.40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May-23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588.5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29.0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20.3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$11,000.41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Jun-23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667.8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31.0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21.5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$11,272.49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Jul-23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746.7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32.0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23.3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$12,420.48</w:t>
            </w:r>
          </w:p>
        </w:tc>
      </w:tr>
      <w:tr w:rsidR="00F756A9" w:rsidRPr="00F756A9" w:rsidTr="00F756A9">
        <w:trPr>
          <w:trHeight w:val="315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Aug-23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757.5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29.0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26.1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756A9">
              <w:rPr>
                <w:rFonts w:ascii="Calibri" w:eastAsia="Times New Roman" w:hAnsi="Calibri" w:cs="Calibri"/>
                <w:color w:val="FF0000"/>
              </w:rPr>
              <w:t>$12,577.63</w:t>
            </w:r>
          </w:p>
        </w:tc>
      </w:tr>
      <w:tr w:rsidR="00F756A9" w:rsidRPr="00F756A9" w:rsidTr="00F756A9">
        <w:trPr>
          <w:trHeight w:val="315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2023 mo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F75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avg. YTD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655.2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$10,682.70</w:t>
            </w:r>
          </w:p>
        </w:tc>
      </w:tr>
      <w:tr w:rsidR="00F756A9" w:rsidRPr="00F756A9" w:rsidTr="00F756A9">
        <w:trPr>
          <w:trHeight w:val="315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56A9" w:rsidRPr="00F756A9" w:rsidTr="00F756A9">
        <w:trPr>
          <w:trHeight w:val="615"/>
          <w:jc w:val="center"/>
        </w:trPr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For reference: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Consumption (000)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yr o yr % increase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Monthly billing avg.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441.0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561.0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616.0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612.0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640.3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$9,809.02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737.1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$11,053.44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823.1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$12,339.11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721.5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-12%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$10,999.19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864.1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$13,562.63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732.8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-15%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$11,756.58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655.2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-11%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$10,682.70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increased % since 2017:      &gt; &gt; &gt;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14%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</w:t>
            </w:r>
            <w:r w:rsidRPr="00F756A9">
              <w:rPr>
                <w:rFonts w:ascii="Calibri" w:eastAsia="Times New Roman" w:hAnsi="Calibri" w:cs="Calibri"/>
                <w:b/>
                <w:bCs/>
                <w:color w:val="000000"/>
              </w:rPr>
              <w:t>contributing factors of increased water billing: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historical county annual Rate increase 2% per year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increased mo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F756A9">
              <w:rPr>
                <w:rFonts w:ascii="Calibri" w:eastAsia="Times New Roman" w:hAnsi="Calibri" w:cs="Calibri"/>
                <w:color w:val="000000"/>
              </w:rPr>
              <w:t xml:space="preserve"> base service charge to $10/unit from $5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numerous curbside leaks due to inferior black polybutelyn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units have multiple family inhabitants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excessive landscape watering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failure to repair leaking faucets/running commodes</w:t>
            </w: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failure to replace out dated water heaters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56A9" w:rsidRPr="00F756A9" w:rsidTr="00F756A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A9" w:rsidRPr="00F756A9" w:rsidRDefault="00F756A9" w:rsidP="00F7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56A9">
              <w:rPr>
                <w:rFonts w:ascii="Calibri" w:eastAsia="Times New Roman" w:hAnsi="Calibri" w:cs="Calibri"/>
                <w:color w:val="000000"/>
              </w:rPr>
              <w:t>failure to replace outdated Pressure Regulator Valve (PRV)</w:t>
            </w:r>
          </w:p>
        </w:tc>
      </w:tr>
    </w:tbl>
    <w:p w:rsidR="005834D9" w:rsidRDefault="005834D9" w:rsidP="000175DB"/>
    <w:sectPr w:rsidR="005834D9" w:rsidSect="00AF0DEF">
      <w:footerReference w:type="default" r:id="rId11"/>
      <w:pgSz w:w="12240" w:h="15840" w:code="1"/>
      <w:pgMar w:top="432" w:right="432" w:bottom="288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C7" w:rsidRDefault="002B3FC7" w:rsidP="00B60395">
      <w:pPr>
        <w:spacing w:after="0" w:line="240" w:lineRule="auto"/>
      </w:pPr>
      <w:r>
        <w:separator/>
      </w:r>
    </w:p>
  </w:endnote>
  <w:endnote w:type="continuationSeparator" w:id="0">
    <w:p w:rsidR="002B3FC7" w:rsidRDefault="002B3FC7" w:rsidP="00B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37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85B" w:rsidRDefault="00D258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9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585B" w:rsidRDefault="00D25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C7" w:rsidRDefault="002B3FC7" w:rsidP="00B60395">
      <w:pPr>
        <w:spacing w:after="0" w:line="240" w:lineRule="auto"/>
      </w:pPr>
      <w:r>
        <w:separator/>
      </w:r>
    </w:p>
  </w:footnote>
  <w:footnote w:type="continuationSeparator" w:id="0">
    <w:p w:rsidR="002B3FC7" w:rsidRDefault="002B3FC7" w:rsidP="00B6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00"/>
    <w:multiLevelType w:val="hybridMultilevel"/>
    <w:tmpl w:val="FF3C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B4D"/>
    <w:multiLevelType w:val="hybridMultilevel"/>
    <w:tmpl w:val="CDC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0E5"/>
    <w:multiLevelType w:val="hybridMultilevel"/>
    <w:tmpl w:val="05D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649E"/>
    <w:multiLevelType w:val="hybridMultilevel"/>
    <w:tmpl w:val="B76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33476"/>
    <w:multiLevelType w:val="hybridMultilevel"/>
    <w:tmpl w:val="A5F40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3"/>
    <w:multiLevelType w:val="hybridMultilevel"/>
    <w:tmpl w:val="CB98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91606"/>
    <w:multiLevelType w:val="hybridMultilevel"/>
    <w:tmpl w:val="414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F545E"/>
    <w:multiLevelType w:val="hybridMultilevel"/>
    <w:tmpl w:val="CB7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5451"/>
    <w:multiLevelType w:val="hybridMultilevel"/>
    <w:tmpl w:val="AD56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C683A"/>
    <w:multiLevelType w:val="hybridMultilevel"/>
    <w:tmpl w:val="F99697DC"/>
    <w:lvl w:ilvl="0" w:tplc="7C4A95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F4532C"/>
    <w:multiLevelType w:val="hybridMultilevel"/>
    <w:tmpl w:val="F002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F12B3"/>
    <w:multiLevelType w:val="hybridMultilevel"/>
    <w:tmpl w:val="341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B"/>
    <w:rsid w:val="000037BF"/>
    <w:rsid w:val="000175DB"/>
    <w:rsid w:val="00064F5A"/>
    <w:rsid w:val="000777F8"/>
    <w:rsid w:val="0008736E"/>
    <w:rsid w:val="000B2FF6"/>
    <w:rsid w:val="000E13F1"/>
    <w:rsid w:val="000E15BE"/>
    <w:rsid w:val="000E380D"/>
    <w:rsid w:val="000F2AAA"/>
    <w:rsid w:val="000F52C0"/>
    <w:rsid w:val="00110D87"/>
    <w:rsid w:val="00180A58"/>
    <w:rsid w:val="001E5291"/>
    <w:rsid w:val="001E66EA"/>
    <w:rsid w:val="001F6B4F"/>
    <w:rsid w:val="001F7B40"/>
    <w:rsid w:val="00203A66"/>
    <w:rsid w:val="0024246E"/>
    <w:rsid w:val="00260606"/>
    <w:rsid w:val="00276BB8"/>
    <w:rsid w:val="002A5EAD"/>
    <w:rsid w:val="002B3FC7"/>
    <w:rsid w:val="002D6C7D"/>
    <w:rsid w:val="003032E4"/>
    <w:rsid w:val="00311F83"/>
    <w:rsid w:val="0034108C"/>
    <w:rsid w:val="00344201"/>
    <w:rsid w:val="00363B53"/>
    <w:rsid w:val="0038554E"/>
    <w:rsid w:val="003908DD"/>
    <w:rsid w:val="00393FB7"/>
    <w:rsid w:val="003A17D3"/>
    <w:rsid w:val="003B30DA"/>
    <w:rsid w:val="003C6547"/>
    <w:rsid w:val="004171CB"/>
    <w:rsid w:val="0042582F"/>
    <w:rsid w:val="00432CA7"/>
    <w:rsid w:val="00465C02"/>
    <w:rsid w:val="00477483"/>
    <w:rsid w:val="004870C0"/>
    <w:rsid w:val="004E3A20"/>
    <w:rsid w:val="0050633F"/>
    <w:rsid w:val="00516C15"/>
    <w:rsid w:val="0056680A"/>
    <w:rsid w:val="005713F5"/>
    <w:rsid w:val="005834D9"/>
    <w:rsid w:val="005C67DA"/>
    <w:rsid w:val="005D57E2"/>
    <w:rsid w:val="005D7631"/>
    <w:rsid w:val="005E08D7"/>
    <w:rsid w:val="005F6647"/>
    <w:rsid w:val="0060407A"/>
    <w:rsid w:val="0063113A"/>
    <w:rsid w:val="00645599"/>
    <w:rsid w:val="0067256B"/>
    <w:rsid w:val="006742DC"/>
    <w:rsid w:val="006A22AE"/>
    <w:rsid w:val="006F4EFB"/>
    <w:rsid w:val="00704375"/>
    <w:rsid w:val="00706C93"/>
    <w:rsid w:val="00726CD4"/>
    <w:rsid w:val="00727D74"/>
    <w:rsid w:val="00751FAD"/>
    <w:rsid w:val="00762FCB"/>
    <w:rsid w:val="00770564"/>
    <w:rsid w:val="00772386"/>
    <w:rsid w:val="0077355C"/>
    <w:rsid w:val="00784DDA"/>
    <w:rsid w:val="007A742D"/>
    <w:rsid w:val="007C6D0D"/>
    <w:rsid w:val="007D7DA9"/>
    <w:rsid w:val="007F36FE"/>
    <w:rsid w:val="008030CE"/>
    <w:rsid w:val="008331BF"/>
    <w:rsid w:val="00843965"/>
    <w:rsid w:val="00856B6C"/>
    <w:rsid w:val="0088582D"/>
    <w:rsid w:val="008C4E41"/>
    <w:rsid w:val="008D1945"/>
    <w:rsid w:val="008E273F"/>
    <w:rsid w:val="008F0D48"/>
    <w:rsid w:val="009039AE"/>
    <w:rsid w:val="009249F7"/>
    <w:rsid w:val="00931302"/>
    <w:rsid w:val="00943513"/>
    <w:rsid w:val="00946D4B"/>
    <w:rsid w:val="009A0013"/>
    <w:rsid w:val="009C2C05"/>
    <w:rsid w:val="009E52D3"/>
    <w:rsid w:val="00A06D3E"/>
    <w:rsid w:val="00A07D88"/>
    <w:rsid w:val="00A1262B"/>
    <w:rsid w:val="00A51245"/>
    <w:rsid w:val="00AA4A05"/>
    <w:rsid w:val="00AC5A8F"/>
    <w:rsid w:val="00AF0DEF"/>
    <w:rsid w:val="00AF128A"/>
    <w:rsid w:val="00B2286A"/>
    <w:rsid w:val="00B520F5"/>
    <w:rsid w:val="00B60395"/>
    <w:rsid w:val="00B67CA2"/>
    <w:rsid w:val="00C0025C"/>
    <w:rsid w:val="00C04C25"/>
    <w:rsid w:val="00C24F1D"/>
    <w:rsid w:val="00C37D27"/>
    <w:rsid w:val="00C52F81"/>
    <w:rsid w:val="00C52FE6"/>
    <w:rsid w:val="00CB28B1"/>
    <w:rsid w:val="00CC2180"/>
    <w:rsid w:val="00CD1871"/>
    <w:rsid w:val="00CD1E6B"/>
    <w:rsid w:val="00CF327F"/>
    <w:rsid w:val="00CF4571"/>
    <w:rsid w:val="00D0294B"/>
    <w:rsid w:val="00D05723"/>
    <w:rsid w:val="00D21D96"/>
    <w:rsid w:val="00D2585B"/>
    <w:rsid w:val="00D365D8"/>
    <w:rsid w:val="00D71AD1"/>
    <w:rsid w:val="00D80A47"/>
    <w:rsid w:val="00D8251E"/>
    <w:rsid w:val="00D86964"/>
    <w:rsid w:val="00D91FB4"/>
    <w:rsid w:val="00DD4CDD"/>
    <w:rsid w:val="00E1509D"/>
    <w:rsid w:val="00E34F90"/>
    <w:rsid w:val="00E42F0B"/>
    <w:rsid w:val="00E6213F"/>
    <w:rsid w:val="00EF1556"/>
    <w:rsid w:val="00F01FA6"/>
    <w:rsid w:val="00F22311"/>
    <w:rsid w:val="00F24747"/>
    <w:rsid w:val="00F6392F"/>
    <w:rsid w:val="00F72531"/>
    <w:rsid w:val="00F756A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95"/>
  </w:style>
  <w:style w:type="paragraph" w:styleId="Footer">
    <w:name w:val="footer"/>
    <w:basedOn w:val="Normal"/>
    <w:link w:val="FooterChar"/>
    <w:uiPriority w:val="99"/>
    <w:unhideWhenUsed/>
    <w:rsid w:val="00B6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95"/>
  </w:style>
  <w:style w:type="table" w:styleId="TableGrid">
    <w:name w:val="Table Grid"/>
    <w:basedOn w:val="TableNormal"/>
    <w:uiPriority w:val="59"/>
    <w:rsid w:val="003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95"/>
  </w:style>
  <w:style w:type="paragraph" w:styleId="Footer">
    <w:name w:val="footer"/>
    <w:basedOn w:val="Normal"/>
    <w:link w:val="FooterChar"/>
    <w:uiPriority w:val="99"/>
    <w:unhideWhenUsed/>
    <w:rsid w:val="00B6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95"/>
  </w:style>
  <w:style w:type="table" w:styleId="TableGrid">
    <w:name w:val="Table Grid"/>
    <w:basedOn w:val="TableNormal"/>
    <w:uiPriority w:val="59"/>
    <w:rsid w:val="003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imcion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luthg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391C-D92F-401A-AEBC-D4D7A86E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2022-11-04T17:03:00Z</cp:lastPrinted>
  <dcterms:created xsi:type="dcterms:W3CDTF">2023-10-28T17:35:00Z</dcterms:created>
  <dcterms:modified xsi:type="dcterms:W3CDTF">2023-10-28T17:35:00Z</dcterms:modified>
</cp:coreProperties>
</file>